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Model risk assessment for practical session 03 | Pipetting for electrophoresis</w:t>
      </w:r>
    </w:p>
    <w:p w:rsidR="00000000" w:rsidDel="00000000" w:rsidP="00000000" w:rsidRDefault="00000000" w:rsidRPr="00000000" w14:paraId="00000002">
      <w:pPr>
        <w:rPr>
          <w:rFonts w:ascii="Cambria" w:cs="Cambria" w:eastAsia="Cambria" w:hAnsi="Cambria"/>
          <w:b w:val="1"/>
          <w:color w:val="0070c0"/>
          <w:sz w:val="32"/>
          <w:szCs w:val="32"/>
        </w:rPr>
      </w:pPr>
      <w:r w:rsidDel="00000000" w:rsidR="00000000" w:rsidRPr="00000000">
        <w:rPr>
          <w:rtl w:val="0"/>
        </w:rPr>
      </w:r>
    </w:p>
    <w:p w:rsidR="00000000" w:rsidDel="00000000" w:rsidP="00000000" w:rsidRDefault="00000000" w:rsidRPr="00000000" w14:paraId="00000003">
      <w:pPr>
        <w:spacing w:after="200" w:line="276" w:lineRule="auto"/>
        <w:rPr>
          <w:rFonts w:ascii="Arial" w:cs="Arial" w:eastAsia="Arial" w:hAnsi="Arial"/>
        </w:rPr>
      </w:pPr>
      <w:r w:rsidDel="00000000" w:rsidR="00000000" w:rsidRPr="00000000">
        <w:rPr>
          <w:rFonts w:ascii="Arial" w:cs="Arial" w:eastAsia="Arial" w:hAnsi="Arial"/>
          <w:rtl w:val="0"/>
        </w:rPr>
        <w:t xml:space="preserve">Teachers and Technicians are reminded their employer is responsible for health and safety within their institution. Risk assessments must be carried out for all practical activities included in this programme at the school and college, to include considerations for their particular laboratory, situation and group of students involved. Individual risk assessments should be carried out for each practical activity with each different group (a model risk assessment provides considerable guidance but will not suffice). If the risk assessment indicates that the practical activities are too risky to carry out in that situation, the employer is responsible for ensuring that it is not undertaken.</w:t>
      </w:r>
    </w:p>
    <w:p w:rsidR="00000000" w:rsidDel="00000000" w:rsidP="00000000" w:rsidRDefault="00000000" w:rsidRPr="00000000" w14:paraId="00000004">
      <w:pPr>
        <w:spacing w:after="200" w:line="276" w:lineRule="auto"/>
        <w:rPr>
          <w:rFonts w:ascii="Arial" w:cs="Arial" w:eastAsia="Arial" w:hAnsi="Arial"/>
        </w:rPr>
      </w:pPr>
      <w:r w:rsidDel="00000000" w:rsidR="00000000" w:rsidRPr="00000000">
        <w:rPr>
          <w:rFonts w:ascii="Arial" w:cs="Arial" w:eastAsia="Arial" w:hAnsi="Arial"/>
          <w:rtl w:val="0"/>
        </w:rPr>
        <w:t xml:space="preserve">Schools should be aware of guidance from CLEAPSS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highlight w:val="white"/>
          <w:rtl w:val="0"/>
        </w:rPr>
        <w:t xml:space="preserve">Consortium of Local Education Authorities for the Provision of Science Services) and, w</w:t>
      </w:r>
      <w:r w:rsidDel="00000000" w:rsidR="00000000" w:rsidRPr="00000000">
        <w:rPr>
          <w:rFonts w:ascii="Arial" w:cs="Arial" w:eastAsia="Arial" w:hAnsi="Arial"/>
          <w:rtl w:val="0"/>
        </w:rPr>
        <w:t xml:space="preserve">here applicable, a school or college should refer to local authority guidelines with regards to specific local rules and guidelines about health and safety. </w:t>
      </w:r>
    </w:p>
    <w:p w:rsidR="00000000" w:rsidDel="00000000" w:rsidP="00000000" w:rsidRDefault="00000000" w:rsidRPr="00000000" w14:paraId="00000005">
      <w:pPr>
        <w:spacing w:after="200" w:line="276" w:lineRule="auto"/>
        <w:rPr>
          <w:rFonts w:ascii="Arial" w:cs="Arial" w:eastAsia="Arial" w:hAnsi="Arial"/>
        </w:rPr>
      </w:pPr>
      <w:r w:rsidDel="00000000" w:rsidR="00000000" w:rsidRPr="00000000">
        <w:rPr>
          <w:rFonts w:ascii="Arial" w:cs="Arial" w:eastAsia="Arial" w:hAnsi="Arial"/>
          <w:rtl w:val="0"/>
        </w:rPr>
        <w:t xml:space="preserve">This model activity risk assessment relates to Practical session 3: Pipetting for electrophoresis.</w:t>
      </w:r>
    </w:p>
    <w:p w:rsidR="00000000" w:rsidDel="00000000" w:rsidP="00000000" w:rsidRDefault="00000000" w:rsidRPr="00000000" w14:paraId="00000006">
      <w:pPr>
        <w:spacing w:after="200" w:line="276" w:lineRule="auto"/>
        <w:rPr>
          <w:rFonts w:ascii="Arial" w:cs="Arial" w:eastAsia="Arial" w:hAnsi="Arial"/>
        </w:rPr>
      </w:pPr>
      <w:r w:rsidDel="00000000" w:rsidR="00000000" w:rsidRPr="00000000">
        <w:rPr>
          <w:rFonts w:ascii="Arial" w:cs="Arial" w:eastAsia="Arial" w:hAnsi="Arial"/>
          <w:rtl w:val="0"/>
        </w:rPr>
        <w:t xml:space="preserve">The first table outlines potential hazards grouped into chemical substances, ergonomics, physical hazards and vulnerable groups.</w:t>
      </w:r>
    </w:p>
    <w:p w:rsidR="00000000" w:rsidDel="00000000" w:rsidP="00000000" w:rsidRDefault="00000000" w:rsidRPr="00000000" w14:paraId="00000007">
      <w:pPr>
        <w:spacing w:after="200" w:line="276" w:lineRule="auto"/>
        <w:rPr>
          <w:rFonts w:ascii="Arial" w:cs="Arial" w:eastAsia="Arial" w:hAnsi="Arial"/>
        </w:rPr>
      </w:pPr>
      <w:r w:rsidDel="00000000" w:rsidR="00000000" w:rsidRPr="00000000">
        <w:rPr>
          <w:rFonts w:ascii="Arial" w:cs="Arial" w:eastAsia="Arial" w:hAnsi="Arial"/>
          <w:rtl w:val="0"/>
        </w:rPr>
        <w:t xml:space="preserve">The second table provides information on risks, safety precautions, emergency procedures, safe disposal and an assessment of overall risk, based on likelihood of a risk occurring and the severity should it do so.</w:t>
      </w:r>
    </w:p>
    <w:tbl>
      <w:tblPr>
        <w:tblStyle w:val="Table1"/>
        <w:tblW w:w="14459.0"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950"/>
        <w:gridCol w:w="2104"/>
        <w:gridCol w:w="8145"/>
        <w:gridCol w:w="3260"/>
        <w:tblGridChange w:id="0">
          <w:tblGrid>
            <w:gridCol w:w="950"/>
            <w:gridCol w:w="2104"/>
            <w:gridCol w:w="8145"/>
            <w:gridCol w:w="3260"/>
          </w:tblGrid>
        </w:tblGridChange>
      </w:tblGrid>
      <w:tr>
        <w:trPr>
          <w:cantSplit w:val="0"/>
          <w:trHeight w:val="295" w:hRule="atLeast"/>
          <w:tblHeader w:val="0"/>
        </w:trPr>
        <w:tc>
          <w:tcPr>
            <w:shd w:fill="f2f2f2" w:val="clear"/>
          </w:tcPr>
          <w:p w:rsidR="00000000" w:rsidDel="00000000" w:rsidP="00000000" w:rsidRDefault="00000000" w:rsidRPr="00000000" w14:paraId="00000008">
            <w:pPr>
              <w:spacing w:after="80" w:before="80" w:line="276" w:lineRule="auto"/>
              <w:rPr>
                <w:rFonts w:ascii="Arial" w:cs="Arial" w:eastAsia="Arial" w:hAnsi="Arial"/>
                <w:b w:val="1"/>
              </w:rPr>
            </w:pPr>
            <w:r w:rsidDel="00000000" w:rsidR="00000000" w:rsidRPr="00000000">
              <w:rPr>
                <w:rFonts w:ascii="Arial" w:cs="Arial" w:eastAsia="Arial" w:hAnsi="Arial"/>
                <w:b w:val="1"/>
                <w:rtl w:val="0"/>
              </w:rPr>
              <w:t xml:space="preserve">Hazard</w:t>
            </w:r>
          </w:p>
        </w:tc>
        <w:tc>
          <w:tcPr>
            <w:shd w:fill="f2f2f2" w:val="clear"/>
          </w:tcPr>
          <w:p w:rsidR="00000000" w:rsidDel="00000000" w:rsidP="00000000" w:rsidRDefault="00000000" w:rsidRPr="00000000" w14:paraId="00000009">
            <w:pPr>
              <w:spacing w:after="80" w:before="80" w:line="276" w:lineRule="auto"/>
              <w:rPr>
                <w:rFonts w:ascii="Arial" w:cs="Arial" w:eastAsia="Arial" w:hAnsi="Arial"/>
                <w:b w:val="1"/>
              </w:rPr>
            </w:pPr>
            <w:r w:rsidDel="00000000" w:rsidR="00000000" w:rsidRPr="00000000">
              <w:rPr>
                <w:rFonts w:ascii="Arial" w:cs="Arial" w:eastAsia="Arial" w:hAnsi="Arial"/>
                <w:b w:val="1"/>
                <w:rtl w:val="0"/>
              </w:rPr>
              <w:t xml:space="preserve">Name </w:t>
            </w:r>
          </w:p>
        </w:tc>
        <w:tc>
          <w:tcPr>
            <w:shd w:fill="f2f2f2" w:val="clear"/>
          </w:tcPr>
          <w:p w:rsidR="00000000" w:rsidDel="00000000" w:rsidP="00000000" w:rsidRDefault="00000000" w:rsidRPr="00000000" w14:paraId="0000000A">
            <w:pPr>
              <w:spacing w:after="80" w:before="80" w:line="276" w:lineRule="auto"/>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f2f2f2" w:val="clear"/>
          </w:tcPr>
          <w:p w:rsidR="00000000" w:rsidDel="00000000" w:rsidP="00000000" w:rsidRDefault="00000000" w:rsidRPr="00000000" w14:paraId="0000000B">
            <w:pPr>
              <w:spacing w:after="80" w:before="80" w:line="276" w:lineRule="auto"/>
              <w:rPr>
                <w:rFonts w:ascii="Arial" w:cs="Arial" w:eastAsia="Arial" w:hAnsi="Arial"/>
                <w:b w:val="1"/>
              </w:rPr>
            </w:pPr>
            <w:r w:rsidDel="00000000" w:rsidR="00000000" w:rsidRPr="00000000">
              <w:rPr>
                <w:rFonts w:ascii="Arial" w:cs="Arial" w:eastAsia="Arial" w:hAnsi="Arial"/>
                <w:b w:val="1"/>
                <w:rtl w:val="0"/>
              </w:rPr>
              <w:t xml:space="preserve">Links</w:t>
            </w:r>
          </w:p>
        </w:tc>
      </w:tr>
      <w:tr>
        <w:trPr>
          <w:cantSplit w:val="1"/>
          <w:trHeight w:val="77" w:hRule="atLeast"/>
          <w:tblHeader w:val="0"/>
        </w:trPr>
        <w:tc>
          <w:tcPr>
            <w:vMerge w:val="restart"/>
            <w:vAlign w:val="center"/>
          </w:tcPr>
          <w:p w:rsidR="00000000" w:rsidDel="00000000" w:rsidP="00000000" w:rsidRDefault="00000000" w:rsidRPr="00000000" w14:paraId="0000000C">
            <w:pPr>
              <w:spacing w:after="80" w:before="8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Chemical substances</w:t>
            </w:r>
          </w:p>
        </w:tc>
        <w:tc>
          <w:tcPr/>
          <w:p w:rsidR="00000000" w:rsidDel="00000000" w:rsidP="00000000" w:rsidRDefault="00000000" w:rsidRPr="00000000" w14:paraId="0000000D">
            <w:pPr>
              <w:spacing w:after="80" w:before="80" w:line="276" w:lineRule="auto"/>
              <w:rPr>
                <w:rFonts w:ascii="Arial" w:cs="Arial" w:eastAsia="Arial" w:hAnsi="Arial"/>
              </w:rPr>
            </w:pPr>
            <w:r w:rsidDel="00000000" w:rsidR="00000000" w:rsidRPr="00000000">
              <w:rPr>
                <w:rFonts w:ascii="Arial" w:cs="Arial" w:eastAsia="Arial" w:hAnsi="Arial"/>
                <w:rtl w:val="0"/>
              </w:rPr>
              <w:t xml:space="preserve">Food dye</w:t>
            </w:r>
          </w:p>
        </w:tc>
        <w:tc>
          <w:tcPr/>
          <w:p w:rsidR="00000000" w:rsidDel="00000000" w:rsidP="00000000" w:rsidRDefault="00000000" w:rsidRPr="00000000" w14:paraId="0000000E">
            <w:pPr>
              <w:spacing w:after="80" w:before="80" w:line="276" w:lineRule="auto"/>
              <w:rPr>
                <w:rFonts w:ascii="Arial" w:cs="Arial" w:eastAsia="Arial" w:hAnsi="Arial"/>
              </w:rPr>
            </w:pPr>
            <w:r w:rsidDel="00000000" w:rsidR="00000000" w:rsidRPr="00000000">
              <w:rPr>
                <w:rFonts w:ascii="Arial" w:cs="Arial" w:eastAsia="Arial" w:hAnsi="Arial"/>
                <w:rtl w:val="0"/>
              </w:rPr>
              <w:t xml:space="preserve">Purchased from a supermarket and meets food safety standards.</w:t>
            </w:r>
          </w:p>
        </w:tc>
        <w:tc>
          <w:tcPr/>
          <w:p w:rsidR="00000000" w:rsidDel="00000000" w:rsidP="00000000" w:rsidRDefault="00000000" w:rsidRPr="00000000" w14:paraId="0000000F">
            <w:pPr>
              <w:spacing w:after="80" w:before="80" w:line="276" w:lineRule="auto"/>
              <w:rPr>
                <w:rFonts w:ascii="Arial" w:cs="Arial" w:eastAsia="Arial" w:hAnsi="Arial"/>
              </w:rPr>
            </w:pPr>
            <w:r w:rsidDel="00000000" w:rsidR="00000000" w:rsidRPr="00000000">
              <w:rPr>
                <w:rFonts w:ascii="Arial" w:cs="Arial" w:eastAsia="Arial" w:hAnsi="Arial"/>
                <w:rtl w:val="0"/>
              </w:rPr>
              <w:t xml:space="preserve">Not available</w:t>
            </w:r>
          </w:p>
        </w:tc>
      </w:tr>
      <w:tr>
        <w:trPr>
          <w:cantSplit w:val="0"/>
          <w:trHeight w:val="283" w:hRule="atLeast"/>
          <w:tblHeader w:val="0"/>
        </w:trPr>
        <w:tc>
          <w:tcPr>
            <w:vMerge w:val="continue"/>
            <w:vAlign w:val="center"/>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11">
            <w:pPr>
              <w:spacing w:after="80" w:before="80" w:line="276" w:lineRule="auto"/>
              <w:rPr>
                <w:rFonts w:ascii="Arial" w:cs="Arial" w:eastAsia="Arial" w:hAnsi="Arial"/>
              </w:rPr>
            </w:pPr>
            <w:r w:rsidDel="00000000" w:rsidR="00000000" w:rsidRPr="00000000">
              <w:rPr>
                <w:rFonts w:ascii="Arial" w:cs="Arial" w:eastAsia="Arial" w:hAnsi="Arial"/>
                <w:rtl w:val="0"/>
              </w:rPr>
              <w:t xml:space="preserve">Tris buffer (pH8.0)</w:t>
            </w:r>
          </w:p>
        </w:tc>
        <w:tc>
          <w:tcPr/>
          <w:p w:rsidR="00000000" w:rsidDel="00000000" w:rsidP="00000000" w:rsidRDefault="00000000" w:rsidRPr="00000000" w14:paraId="00000012">
            <w:pPr>
              <w:spacing w:after="80" w:before="80" w:line="276" w:lineRule="auto"/>
              <w:rPr>
                <w:rFonts w:ascii="Arial" w:cs="Arial" w:eastAsia="Arial" w:hAnsi="Arial"/>
              </w:rPr>
            </w:pPr>
            <w:r w:rsidDel="00000000" w:rsidR="00000000" w:rsidRPr="00000000">
              <w:rPr>
                <w:rFonts w:ascii="Arial" w:cs="Arial" w:eastAsia="Arial" w:hAnsi="Arial"/>
                <w:rtl w:val="0"/>
              </w:rPr>
              <w:t xml:space="preserve">Present in dye solutions 1, 2, 3 and 4 at a 0.1 M concentration. </w:t>
            </w:r>
          </w:p>
          <w:p w:rsidR="00000000" w:rsidDel="00000000" w:rsidP="00000000" w:rsidRDefault="00000000" w:rsidRPr="00000000" w14:paraId="00000013">
            <w:pPr>
              <w:spacing w:after="80" w:before="80" w:line="276" w:lineRule="auto"/>
              <w:rPr>
                <w:rFonts w:ascii="Arial" w:cs="Arial" w:eastAsia="Arial" w:hAnsi="Arial"/>
              </w:rPr>
            </w:pPr>
            <w:r w:rsidDel="00000000" w:rsidR="00000000" w:rsidRPr="00000000">
              <w:rPr>
                <w:rFonts w:ascii="Arial" w:cs="Arial" w:eastAsia="Arial" w:hAnsi="Arial"/>
                <w:rtl w:val="0"/>
              </w:rPr>
              <w:t xml:space="preserve">Made using a 1M Tris (pH8.0) solution, which is not a hazardous substance or mixture according to Regulation (EC) No. 1272/2008.</w:t>
            </w:r>
          </w:p>
        </w:tc>
        <w:tc>
          <w:tcPr/>
          <w:p w:rsidR="00000000" w:rsidDel="00000000" w:rsidP="00000000" w:rsidRDefault="00000000" w:rsidRPr="00000000" w14:paraId="00000014">
            <w:pPr>
              <w:spacing w:after="80" w:before="80" w:line="276" w:lineRule="auto"/>
              <w:rPr>
                <w:rFonts w:ascii="Arial" w:cs="Arial" w:eastAsia="Arial" w:hAnsi="Arial"/>
              </w:rPr>
            </w:pPr>
            <w:r w:rsidDel="00000000" w:rsidR="00000000" w:rsidRPr="00000000">
              <w:rPr>
                <w:rFonts w:ascii="Arial" w:cs="Arial" w:eastAsia="Arial" w:hAnsi="Arial"/>
                <w:rtl w:val="0"/>
              </w:rPr>
              <w:t xml:space="preserve">1M Tris (pH8.0) </w:t>
            </w:r>
            <w:hyperlink r:id="rId7">
              <w:r w:rsidDel="00000000" w:rsidR="00000000" w:rsidRPr="00000000">
                <w:rPr>
                  <w:rFonts w:ascii="Arial" w:cs="Arial" w:eastAsia="Arial" w:hAnsi="Arial"/>
                  <w:color w:val="0563c1"/>
                  <w:u w:val="single"/>
                  <w:rtl w:val="0"/>
                </w:rPr>
                <w:t xml:space="preserve">SDS</w:t>
              </w:r>
            </w:hyperlink>
            <w:r w:rsidDel="00000000" w:rsidR="00000000" w:rsidRPr="00000000">
              <w:rPr>
                <w:rFonts w:ascii="Arial" w:cs="Arial" w:eastAsia="Arial" w:hAnsi="Arial"/>
                <w:rtl w:val="0"/>
              </w:rPr>
              <w:t xml:space="preserve"> </w:t>
            </w:r>
          </w:p>
        </w:tc>
      </w:tr>
      <w:tr>
        <w:trPr>
          <w:cantSplit w:val="0"/>
          <w:trHeight w:val="283" w:hRule="atLeast"/>
          <w:tblHeader w:val="0"/>
        </w:trPr>
        <w:tc>
          <w:tcPr>
            <w:vMerge w:val="continue"/>
            <w:vAlign w:val="center"/>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016">
            <w:pPr>
              <w:spacing w:after="80" w:before="80" w:line="276" w:lineRule="auto"/>
              <w:rPr>
                <w:rFonts w:ascii="Arial" w:cs="Arial" w:eastAsia="Arial" w:hAnsi="Arial"/>
              </w:rPr>
            </w:pPr>
            <w:r w:rsidDel="00000000" w:rsidR="00000000" w:rsidRPr="00000000">
              <w:rPr>
                <w:rFonts w:ascii="Arial" w:cs="Arial" w:eastAsia="Arial" w:hAnsi="Arial"/>
                <w:rtl w:val="0"/>
              </w:rPr>
              <w:t xml:space="preserve">Glycerol </w:t>
            </w:r>
          </w:p>
        </w:tc>
        <w:tc>
          <w:tcPr/>
          <w:p w:rsidR="00000000" w:rsidDel="00000000" w:rsidP="00000000" w:rsidRDefault="00000000" w:rsidRPr="00000000" w14:paraId="00000017">
            <w:pPr>
              <w:spacing w:after="80" w:before="80" w:line="276" w:lineRule="auto"/>
              <w:rPr>
                <w:rFonts w:ascii="Arial" w:cs="Arial" w:eastAsia="Arial" w:hAnsi="Arial"/>
              </w:rPr>
            </w:pPr>
            <w:r w:rsidDel="00000000" w:rsidR="00000000" w:rsidRPr="00000000">
              <w:rPr>
                <w:rFonts w:ascii="Arial" w:cs="Arial" w:eastAsia="Arial" w:hAnsi="Arial"/>
                <w:rtl w:val="0"/>
              </w:rPr>
              <w:t xml:space="preserve">Present in dye solutions 1, 2, 3 and 4 at a 10% concentration by volume. </w:t>
            </w:r>
          </w:p>
          <w:p w:rsidR="00000000" w:rsidDel="00000000" w:rsidP="00000000" w:rsidRDefault="00000000" w:rsidRPr="00000000" w14:paraId="00000018">
            <w:pPr>
              <w:spacing w:after="80" w:before="80" w:line="276" w:lineRule="auto"/>
              <w:rPr>
                <w:rFonts w:ascii="Arial" w:cs="Arial" w:eastAsia="Arial" w:hAnsi="Arial"/>
              </w:rPr>
            </w:pPr>
            <w:r w:rsidDel="00000000" w:rsidR="00000000" w:rsidRPr="00000000">
              <w:rPr>
                <w:rFonts w:ascii="Arial" w:cs="Arial" w:eastAsia="Arial" w:hAnsi="Arial"/>
                <w:rtl w:val="0"/>
              </w:rPr>
              <w:t xml:space="preserve">Made using pure glycerol solution, which is not a hazardous substance or mixture according to GB-CLP Regulations UK SI 2019/720 and UK SI 2020/1567.</w:t>
            </w:r>
          </w:p>
        </w:tc>
        <w:tc>
          <w:tcPr/>
          <w:p w:rsidR="00000000" w:rsidDel="00000000" w:rsidP="00000000" w:rsidRDefault="00000000" w:rsidRPr="00000000" w14:paraId="00000019">
            <w:pPr>
              <w:spacing w:after="80" w:before="80" w:line="276" w:lineRule="auto"/>
              <w:rPr>
                <w:rFonts w:ascii="Arial" w:cs="Arial" w:eastAsia="Arial" w:hAnsi="Arial"/>
              </w:rPr>
            </w:pPr>
            <w:r w:rsidDel="00000000" w:rsidR="00000000" w:rsidRPr="00000000">
              <w:rPr>
                <w:rFonts w:ascii="Arial" w:cs="Arial" w:eastAsia="Arial" w:hAnsi="Arial"/>
                <w:rtl w:val="0"/>
              </w:rPr>
              <w:t xml:space="preserve">UltraPure Glycerol </w:t>
            </w:r>
            <w:hyperlink r:id="rId8">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r>
        <w:trPr>
          <w:cantSplit w:val="0"/>
          <w:trHeight w:val="283" w:hRule="atLeast"/>
          <w:tblHeader w:val="0"/>
        </w:trPr>
        <w:tc>
          <w:tcPr>
            <w:shd w:fill="f2f2f2" w:val="clear"/>
          </w:tcPr>
          <w:p w:rsidR="00000000" w:rsidDel="00000000" w:rsidP="00000000" w:rsidRDefault="00000000" w:rsidRPr="00000000" w14:paraId="0000001A">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Hazard</w:t>
            </w:r>
            <w:r w:rsidDel="00000000" w:rsidR="00000000" w:rsidRPr="00000000">
              <w:rPr>
                <w:rtl w:val="0"/>
              </w:rPr>
            </w:r>
          </w:p>
        </w:tc>
        <w:tc>
          <w:tcPr>
            <w:shd w:fill="f2f2f2" w:val="clear"/>
          </w:tcPr>
          <w:p w:rsidR="00000000" w:rsidDel="00000000" w:rsidP="00000000" w:rsidRDefault="00000000" w:rsidRPr="00000000" w14:paraId="0000001B">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Name </w:t>
            </w:r>
            <w:r w:rsidDel="00000000" w:rsidR="00000000" w:rsidRPr="00000000">
              <w:rPr>
                <w:rtl w:val="0"/>
              </w:rPr>
            </w:r>
          </w:p>
        </w:tc>
        <w:tc>
          <w:tcPr>
            <w:shd w:fill="f2f2f2" w:val="clear"/>
          </w:tcPr>
          <w:p w:rsidR="00000000" w:rsidDel="00000000" w:rsidP="00000000" w:rsidRDefault="00000000" w:rsidRPr="00000000" w14:paraId="0000001C">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Description</w:t>
            </w:r>
            <w:r w:rsidDel="00000000" w:rsidR="00000000" w:rsidRPr="00000000">
              <w:rPr>
                <w:rtl w:val="0"/>
              </w:rPr>
            </w:r>
          </w:p>
        </w:tc>
        <w:tc>
          <w:tcPr>
            <w:shd w:fill="f2f2f2" w:val="clear"/>
          </w:tcPr>
          <w:p w:rsidR="00000000" w:rsidDel="00000000" w:rsidP="00000000" w:rsidRDefault="00000000" w:rsidRPr="00000000" w14:paraId="0000001D">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Links</w:t>
            </w:r>
            <w:r w:rsidDel="00000000" w:rsidR="00000000" w:rsidRPr="00000000">
              <w:rPr>
                <w:rtl w:val="0"/>
              </w:rPr>
            </w:r>
          </w:p>
        </w:tc>
      </w:tr>
      <w:tr>
        <w:trPr>
          <w:cantSplit w:val="0"/>
          <w:trHeight w:val="283" w:hRule="atLeast"/>
          <w:tblHeader w:val="0"/>
        </w:trPr>
        <w:tc>
          <w:tcPr>
            <w:vMerge w:val="restart"/>
            <w:vAlign w:val="center"/>
          </w:tcPr>
          <w:p w:rsidR="00000000" w:rsidDel="00000000" w:rsidP="00000000" w:rsidRDefault="00000000" w:rsidRPr="00000000" w14:paraId="0000001E">
            <w:pPr>
              <w:spacing w:after="80" w:before="8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Chemical substances</w:t>
            </w:r>
          </w:p>
        </w:tc>
        <w:tc>
          <w:tcPr>
            <w:vAlign w:val="center"/>
          </w:tcPr>
          <w:p w:rsidR="00000000" w:rsidDel="00000000" w:rsidP="00000000" w:rsidRDefault="00000000" w:rsidRPr="00000000" w14:paraId="0000001F">
            <w:pPr>
              <w:spacing w:after="80" w:before="80" w:line="276" w:lineRule="auto"/>
              <w:rPr>
                <w:rFonts w:ascii="Arial" w:cs="Arial" w:eastAsia="Arial" w:hAnsi="Arial"/>
              </w:rPr>
            </w:pPr>
            <w:r w:rsidDel="00000000" w:rsidR="00000000" w:rsidRPr="00000000">
              <w:rPr>
                <w:rFonts w:ascii="Arial" w:cs="Arial" w:eastAsia="Arial" w:hAnsi="Arial"/>
                <w:rtl w:val="0"/>
              </w:rPr>
              <w:t xml:space="preserve">Bromophenol blue</w:t>
            </w:r>
          </w:p>
        </w:tc>
        <w:tc>
          <w:tcPr/>
          <w:p w:rsidR="00000000" w:rsidDel="00000000" w:rsidP="00000000" w:rsidRDefault="00000000" w:rsidRPr="00000000" w14:paraId="00000020">
            <w:pPr>
              <w:spacing w:after="80" w:before="80" w:line="276" w:lineRule="auto"/>
              <w:rPr>
                <w:rFonts w:ascii="Arial" w:cs="Arial" w:eastAsia="Arial" w:hAnsi="Arial"/>
              </w:rPr>
            </w:pPr>
            <w:r w:rsidDel="00000000" w:rsidR="00000000" w:rsidRPr="00000000">
              <w:rPr>
                <w:rFonts w:ascii="Arial" w:cs="Arial" w:eastAsia="Arial" w:hAnsi="Arial"/>
                <w:rtl w:val="0"/>
              </w:rPr>
              <w:t xml:space="preserve">Present in dye solutions 1, 2, 3 and 4 at a 0.05% (w/v) concentration. </w:t>
            </w:r>
          </w:p>
          <w:p w:rsidR="00000000" w:rsidDel="00000000" w:rsidP="00000000" w:rsidRDefault="00000000" w:rsidRPr="00000000" w14:paraId="00000021">
            <w:pPr>
              <w:spacing w:after="80" w:before="80" w:line="276" w:lineRule="auto"/>
              <w:rPr>
                <w:rFonts w:ascii="Arial" w:cs="Arial" w:eastAsia="Arial" w:hAnsi="Arial"/>
              </w:rPr>
            </w:pPr>
            <w:r w:rsidDel="00000000" w:rsidR="00000000" w:rsidRPr="00000000">
              <w:rPr>
                <w:rFonts w:ascii="Arial" w:cs="Arial" w:eastAsia="Arial" w:hAnsi="Arial"/>
                <w:rtl w:val="0"/>
              </w:rPr>
              <w:t xml:space="preserve">Made using bromophenol blue powder, which is not a hazardous substance or mixture according to GB-CLP Regulations UK SI 2019/720 and UK SI 2020/1567.</w:t>
            </w:r>
          </w:p>
        </w:tc>
        <w:tc>
          <w:tcPr/>
          <w:p w:rsidR="00000000" w:rsidDel="00000000" w:rsidP="00000000" w:rsidRDefault="00000000" w:rsidRPr="00000000" w14:paraId="00000022">
            <w:pPr>
              <w:spacing w:after="80" w:before="80" w:line="276" w:lineRule="auto"/>
              <w:rPr>
                <w:rFonts w:ascii="Arial" w:cs="Arial" w:eastAsia="Arial" w:hAnsi="Arial"/>
              </w:rPr>
            </w:pPr>
            <w:r w:rsidDel="00000000" w:rsidR="00000000" w:rsidRPr="00000000">
              <w:rPr>
                <w:rFonts w:ascii="Arial" w:cs="Arial" w:eastAsia="Arial" w:hAnsi="Arial"/>
                <w:rtl w:val="0"/>
              </w:rPr>
              <w:t xml:space="preserve">Bromophenol Blue </w:t>
            </w:r>
            <w:hyperlink r:id="rId9">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r>
        <w:trPr>
          <w:cantSplit w:val="0"/>
          <w:trHeight w:val="283" w:hRule="atLeast"/>
          <w:tblHeader w:val="0"/>
        </w:trPr>
        <w:tc>
          <w:tcPr>
            <w:vMerge w:val="continue"/>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4">
            <w:pPr>
              <w:spacing w:after="80" w:before="80" w:line="276" w:lineRule="auto"/>
              <w:rPr>
                <w:rFonts w:ascii="Arial" w:cs="Arial" w:eastAsia="Arial" w:hAnsi="Arial"/>
              </w:rPr>
            </w:pPr>
            <w:r w:rsidDel="00000000" w:rsidR="00000000" w:rsidRPr="00000000">
              <w:rPr>
                <w:rFonts w:ascii="Arial" w:cs="Arial" w:eastAsia="Arial" w:hAnsi="Arial"/>
                <w:rtl w:val="0"/>
              </w:rPr>
              <w:t xml:space="preserve">Xylene cyanol</w:t>
            </w:r>
          </w:p>
        </w:tc>
        <w:tc>
          <w:tcPr/>
          <w:p w:rsidR="00000000" w:rsidDel="00000000" w:rsidP="00000000" w:rsidRDefault="00000000" w:rsidRPr="00000000" w14:paraId="00000025">
            <w:pPr>
              <w:spacing w:after="80" w:before="80" w:line="276" w:lineRule="auto"/>
              <w:rPr>
                <w:rFonts w:ascii="Arial" w:cs="Arial" w:eastAsia="Arial" w:hAnsi="Arial"/>
              </w:rPr>
            </w:pPr>
            <w:r w:rsidDel="00000000" w:rsidR="00000000" w:rsidRPr="00000000">
              <w:rPr>
                <w:rFonts w:ascii="Arial" w:cs="Arial" w:eastAsia="Arial" w:hAnsi="Arial"/>
                <w:rtl w:val="0"/>
              </w:rPr>
              <w:t xml:space="preserve">Present in dye solutions 1 and 3 at a 0.1% (w/v) concentration. </w:t>
            </w:r>
          </w:p>
          <w:p w:rsidR="00000000" w:rsidDel="00000000" w:rsidP="00000000" w:rsidRDefault="00000000" w:rsidRPr="00000000" w14:paraId="00000026">
            <w:pPr>
              <w:spacing w:after="80" w:before="80" w:line="276" w:lineRule="auto"/>
              <w:rPr>
                <w:rFonts w:ascii="Arial" w:cs="Arial" w:eastAsia="Arial" w:hAnsi="Arial"/>
              </w:rPr>
            </w:pPr>
            <w:r w:rsidDel="00000000" w:rsidR="00000000" w:rsidRPr="00000000">
              <w:rPr>
                <w:rFonts w:ascii="Arial" w:cs="Arial" w:eastAsia="Arial" w:hAnsi="Arial"/>
                <w:rtl w:val="0"/>
              </w:rPr>
              <w:t xml:space="preserve">Made using xylene cyanol FF crystals, which is a hazardous substance or mixture according to Regulation (EC) No 1272/2008 as amended by GB-CLP Regulation, UK SI 2019/720, and UK SI 2020/1567, causing Eye irritation (Category 2), H319. </w:t>
            </w:r>
          </w:p>
          <w:p w:rsidR="00000000" w:rsidDel="00000000" w:rsidP="00000000" w:rsidRDefault="00000000" w:rsidRPr="00000000" w14:paraId="00000027">
            <w:pPr>
              <w:spacing w:after="80" w:before="80" w:line="276" w:lineRule="auto"/>
              <w:rPr>
                <w:rFonts w:ascii="Arial" w:cs="Arial" w:eastAsia="Arial" w:hAnsi="Arial"/>
              </w:rPr>
            </w:pPr>
            <w:r w:rsidDel="00000000" w:rsidR="00000000" w:rsidRPr="00000000">
              <w:rPr>
                <w:rFonts w:ascii="Arial" w:cs="Arial" w:eastAsia="Arial" w:hAnsi="Arial"/>
                <w:rtl w:val="0"/>
              </w:rPr>
              <w:t xml:space="preserve">However, when dissolved and present at a &lt;1% concentration, this is no longer classed as a hazardous substance or mixture according to Regulation (EC) No. 1272/2008, see for example in 6x DNA loading dye.</w:t>
            </w:r>
          </w:p>
        </w:tc>
        <w:tc>
          <w:tcPr/>
          <w:p w:rsidR="00000000" w:rsidDel="00000000" w:rsidP="00000000" w:rsidRDefault="00000000" w:rsidRPr="00000000" w14:paraId="00000028">
            <w:pPr>
              <w:spacing w:after="80" w:before="80" w:line="276" w:lineRule="auto"/>
              <w:rPr>
                <w:rFonts w:ascii="Arial" w:cs="Arial" w:eastAsia="Arial" w:hAnsi="Arial"/>
              </w:rPr>
            </w:pPr>
            <w:r w:rsidDel="00000000" w:rsidR="00000000" w:rsidRPr="00000000">
              <w:rPr>
                <w:rFonts w:ascii="Arial" w:cs="Arial" w:eastAsia="Arial" w:hAnsi="Arial"/>
                <w:rtl w:val="0"/>
              </w:rPr>
              <w:t xml:space="preserve">Xylene cyanol FF </w:t>
            </w:r>
            <w:hyperlink r:id="rId10">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p w:rsidR="00000000" w:rsidDel="00000000" w:rsidP="00000000" w:rsidRDefault="00000000" w:rsidRPr="00000000" w14:paraId="00000029">
            <w:pPr>
              <w:spacing w:after="80" w:before="80" w:line="276" w:lineRule="auto"/>
              <w:rPr>
                <w:rFonts w:ascii="Arial" w:cs="Arial" w:eastAsia="Arial" w:hAnsi="Arial"/>
              </w:rPr>
            </w:pPr>
            <w:r w:rsidDel="00000000" w:rsidR="00000000" w:rsidRPr="00000000">
              <w:rPr>
                <w:rFonts w:ascii="Arial" w:cs="Arial" w:eastAsia="Arial" w:hAnsi="Arial"/>
                <w:rtl w:val="0"/>
              </w:rPr>
              <w:t xml:space="preserve">6x DNA loading dye </w:t>
            </w:r>
            <w:hyperlink r:id="rId11">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r>
        <w:trPr>
          <w:cantSplit w:val="0"/>
          <w:trHeight w:val="283" w:hRule="atLeast"/>
          <w:tblHeader w:val="0"/>
        </w:trPr>
        <w:tc>
          <w:tcPr>
            <w:vMerge w:val="continue"/>
            <w:vAlign w:val="center"/>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2B">
            <w:pPr>
              <w:spacing w:after="80" w:before="80" w:line="276" w:lineRule="auto"/>
              <w:rPr>
                <w:rFonts w:ascii="Arial" w:cs="Arial" w:eastAsia="Arial" w:hAnsi="Arial"/>
              </w:rPr>
            </w:pPr>
            <w:r w:rsidDel="00000000" w:rsidR="00000000" w:rsidRPr="00000000">
              <w:rPr>
                <w:rFonts w:ascii="Arial" w:cs="Arial" w:eastAsia="Arial" w:hAnsi="Arial"/>
                <w:rtl w:val="0"/>
              </w:rPr>
              <w:t xml:space="preserve">Orange G</w:t>
            </w:r>
          </w:p>
        </w:tc>
        <w:tc>
          <w:tcPr/>
          <w:p w:rsidR="00000000" w:rsidDel="00000000" w:rsidP="00000000" w:rsidRDefault="00000000" w:rsidRPr="00000000" w14:paraId="0000002C">
            <w:pPr>
              <w:spacing w:after="80" w:before="80" w:line="276" w:lineRule="auto"/>
              <w:rPr>
                <w:rFonts w:ascii="Arial" w:cs="Arial" w:eastAsia="Arial" w:hAnsi="Arial"/>
              </w:rPr>
            </w:pPr>
            <w:r w:rsidDel="00000000" w:rsidR="00000000" w:rsidRPr="00000000">
              <w:rPr>
                <w:rFonts w:ascii="Arial" w:cs="Arial" w:eastAsia="Arial" w:hAnsi="Arial"/>
                <w:rtl w:val="0"/>
              </w:rPr>
              <w:t xml:space="preserve">Present in dye solutions 3 and 4 at a 0.05% (w/v) concentration. </w:t>
            </w:r>
          </w:p>
          <w:p w:rsidR="00000000" w:rsidDel="00000000" w:rsidP="00000000" w:rsidRDefault="00000000" w:rsidRPr="00000000" w14:paraId="0000002D">
            <w:pPr>
              <w:spacing w:after="80" w:before="80" w:line="276" w:lineRule="auto"/>
              <w:rPr>
                <w:rFonts w:ascii="Arial" w:cs="Arial" w:eastAsia="Arial" w:hAnsi="Arial"/>
              </w:rPr>
            </w:pPr>
            <w:r w:rsidDel="00000000" w:rsidR="00000000" w:rsidRPr="00000000">
              <w:rPr>
                <w:rFonts w:ascii="Arial" w:cs="Arial" w:eastAsia="Arial" w:hAnsi="Arial"/>
                <w:rtl w:val="0"/>
              </w:rPr>
              <w:t xml:space="preserve">Made using Orange G crystals, which is not a hazardous substance or mixture according to according to Regulation (EC) No 1272/2008 as amended by GB-CLP Regulation, UK SI 2019/720, and UK SI 2020/1567. </w:t>
            </w:r>
          </w:p>
        </w:tc>
        <w:tc>
          <w:tcPr/>
          <w:p w:rsidR="00000000" w:rsidDel="00000000" w:rsidP="00000000" w:rsidRDefault="00000000" w:rsidRPr="00000000" w14:paraId="0000002E">
            <w:pPr>
              <w:spacing w:after="80" w:before="80" w:line="276" w:lineRule="auto"/>
              <w:rPr>
                <w:rFonts w:ascii="Arial" w:cs="Arial" w:eastAsia="Arial" w:hAnsi="Arial"/>
              </w:rPr>
            </w:pPr>
            <w:r w:rsidDel="00000000" w:rsidR="00000000" w:rsidRPr="00000000">
              <w:rPr>
                <w:rFonts w:ascii="Arial" w:cs="Arial" w:eastAsia="Arial" w:hAnsi="Arial"/>
                <w:rtl w:val="0"/>
              </w:rPr>
              <w:t xml:space="preserve">Orange G </w:t>
            </w:r>
            <w:hyperlink r:id="rId12">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r>
        <w:trPr>
          <w:cantSplit w:val="0"/>
          <w:trHeight w:val="283" w:hRule="atLeast"/>
          <w:tblHeader w:val="0"/>
        </w:trPr>
        <w:tc>
          <w:tcPr>
            <w:vMerge w:val="continue"/>
            <w:vAlign w:val="center"/>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30">
            <w:pPr>
              <w:spacing w:after="80" w:before="80" w:line="276" w:lineRule="auto"/>
              <w:rPr>
                <w:rFonts w:ascii="Arial" w:cs="Arial" w:eastAsia="Arial" w:hAnsi="Arial"/>
              </w:rPr>
            </w:pPr>
            <w:r w:rsidDel="00000000" w:rsidR="00000000" w:rsidRPr="00000000">
              <w:rPr>
                <w:rFonts w:ascii="Arial" w:cs="Arial" w:eastAsia="Arial" w:hAnsi="Arial"/>
                <w:rtl w:val="0"/>
              </w:rPr>
              <w:t xml:space="preserve">TAE buffer</w:t>
            </w:r>
          </w:p>
        </w:tc>
        <w:tc>
          <w:tcPr/>
          <w:p w:rsidR="00000000" w:rsidDel="00000000" w:rsidP="00000000" w:rsidRDefault="00000000" w:rsidRPr="00000000" w14:paraId="00000031">
            <w:pPr>
              <w:spacing w:after="80" w:before="80" w:line="276" w:lineRule="auto"/>
              <w:rPr>
                <w:rFonts w:ascii="Arial" w:cs="Arial" w:eastAsia="Arial" w:hAnsi="Arial"/>
              </w:rPr>
            </w:pPr>
            <w:r w:rsidDel="00000000" w:rsidR="00000000" w:rsidRPr="00000000">
              <w:rPr>
                <w:rFonts w:ascii="Arial" w:cs="Arial" w:eastAsia="Arial" w:hAnsi="Arial"/>
                <w:rtl w:val="0"/>
              </w:rPr>
              <w:t xml:space="preserve">Supplied as a 10x concentrate, used as a 1 x solution for electrophoresis.</w:t>
            </w:r>
          </w:p>
          <w:p w:rsidR="00000000" w:rsidDel="00000000" w:rsidP="00000000" w:rsidRDefault="00000000" w:rsidRPr="00000000" w14:paraId="00000032">
            <w:pPr>
              <w:spacing w:after="80" w:before="80" w:line="276" w:lineRule="auto"/>
              <w:rPr>
                <w:rFonts w:ascii="Arial" w:cs="Arial" w:eastAsia="Arial" w:hAnsi="Arial"/>
              </w:rPr>
            </w:pPr>
            <w:r w:rsidDel="00000000" w:rsidR="00000000" w:rsidRPr="00000000">
              <w:rPr>
                <w:rFonts w:ascii="Arial" w:cs="Arial" w:eastAsia="Arial" w:hAnsi="Arial"/>
                <w:rtl w:val="0"/>
              </w:rPr>
              <w:t xml:space="preserve">Contains </w:t>
            </w:r>
            <w:r w:rsidDel="00000000" w:rsidR="00000000" w:rsidRPr="00000000">
              <w:rPr>
                <w:rFonts w:ascii="Arial" w:cs="Arial" w:eastAsia="Arial" w:hAnsi="Arial"/>
                <w:b w:val="1"/>
                <w:rtl w:val="0"/>
              </w:rPr>
              <w:t xml:space="preserve">T</w:t>
            </w:r>
            <w:r w:rsidDel="00000000" w:rsidR="00000000" w:rsidRPr="00000000">
              <w:rPr>
                <w:rFonts w:ascii="Arial" w:cs="Arial" w:eastAsia="Arial" w:hAnsi="Arial"/>
                <w:rtl w:val="0"/>
              </w:rPr>
              <w:t xml:space="preserve">ris (pH8.0), </w:t>
            </w:r>
            <w:r w:rsidDel="00000000" w:rsidR="00000000" w:rsidRPr="00000000">
              <w:rPr>
                <w:rFonts w:ascii="Arial" w:cs="Arial" w:eastAsia="Arial" w:hAnsi="Arial"/>
                <w:b w:val="1"/>
                <w:rtl w:val="0"/>
              </w:rPr>
              <w:t xml:space="preserve">A</w:t>
            </w:r>
            <w:r w:rsidDel="00000000" w:rsidR="00000000" w:rsidRPr="00000000">
              <w:rPr>
                <w:rFonts w:ascii="Arial" w:cs="Arial" w:eastAsia="Arial" w:hAnsi="Arial"/>
                <w:rtl w:val="0"/>
              </w:rPr>
              <w:t xml:space="preserve">cetic acid and </w:t>
            </w: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rtl w:val="0"/>
              </w:rPr>
              <w:t xml:space="preserve">DTA. At higher concentrations EDTA is harmful if inhaled – here it is in solution. At higher concentrations acetic acid is corrosive, flammable and irritant, capable of causing skin burns and eye damage. 10x TAE buffer, or the diluted 1x TAE buffer is not a hazardous substance according to Regulation (EC) No 1272/2008.</w:t>
            </w:r>
          </w:p>
        </w:tc>
        <w:tc>
          <w:tcPr/>
          <w:p w:rsidR="00000000" w:rsidDel="00000000" w:rsidP="00000000" w:rsidRDefault="00000000" w:rsidRPr="00000000" w14:paraId="00000033">
            <w:pPr>
              <w:spacing w:after="80" w:before="80" w:line="276" w:lineRule="auto"/>
              <w:rPr>
                <w:rFonts w:ascii="Arial" w:cs="Arial" w:eastAsia="Arial" w:hAnsi="Arial"/>
              </w:rPr>
            </w:pPr>
            <w:r w:rsidDel="00000000" w:rsidR="00000000" w:rsidRPr="00000000">
              <w:rPr>
                <w:rFonts w:ascii="Arial" w:cs="Arial" w:eastAsia="Arial" w:hAnsi="Arial"/>
                <w:rtl w:val="0"/>
              </w:rPr>
              <w:t xml:space="preserve">UltraPure 10X TAE Buffer </w:t>
            </w:r>
            <w:hyperlink r:id="rId13">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r>
        <w:trPr>
          <w:cantSplit w:val="0"/>
          <w:trHeight w:val="283" w:hRule="atLeast"/>
          <w:tblHeader w:val="0"/>
        </w:trPr>
        <w:tc>
          <w:tcPr>
            <w:vMerge w:val="continue"/>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35">
            <w:pPr>
              <w:spacing w:after="80" w:before="80" w:line="276" w:lineRule="auto"/>
              <w:rPr>
                <w:rFonts w:ascii="Arial" w:cs="Arial" w:eastAsia="Arial" w:hAnsi="Arial"/>
              </w:rPr>
            </w:pPr>
            <w:r w:rsidDel="00000000" w:rsidR="00000000" w:rsidRPr="00000000">
              <w:rPr>
                <w:rFonts w:ascii="Arial" w:cs="Arial" w:eastAsia="Arial" w:hAnsi="Arial"/>
                <w:rtl w:val="0"/>
              </w:rPr>
              <w:t xml:space="preserve">Agarose</w:t>
            </w:r>
          </w:p>
        </w:tc>
        <w:tc>
          <w:tcPr/>
          <w:p w:rsidR="00000000" w:rsidDel="00000000" w:rsidP="00000000" w:rsidRDefault="00000000" w:rsidRPr="00000000" w14:paraId="00000036">
            <w:pPr>
              <w:spacing w:after="80" w:before="80" w:line="276" w:lineRule="auto"/>
              <w:rPr>
                <w:rFonts w:ascii="Arial" w:cs="Arial" w:eastAsia="Arial" w:hAnsi="Arial"/>
              </w:rPr>
            </w:pPr>
            <w:r w:rsidDel="00000000" w:rsidR="00000000" w:rsidRPr="00000000">
              <w:rPr>
                <w:rFonts w:ascii="Arial" w:cs="Arial" w:eastAsia="Arial" w:hAnsi="Arial"/>
                <w:rtl w:val="0"/>
              </w:rPr>
              <w:t xml:space="preserve">Supplied as a light cream powder solid.</w:t>
            </w:r>
          </w:p>
          <w:p w:rsidR="00000000" w:rsidDel="00000000" w:rsidP="00000000" w:rsidRDefault="00000000" w:rsidRPr="00000000" w14:paraId="00000037">
            <w:pPr>
              <w:spacing w:after="80" w:before="80" w:line="276" w:lineRule="auto"/>
              <w:rPr>
                <w:rFonts w:ascii="Arial" w:cs="Arial" w:eastAsia="Arial" w:hAnsi="Arial"/>
              </w:rPr>
            </w:pPr>
            <w:r w:rsidDel="00000000" w:rsidR="00000000" w:rsidRPr="00000000">
              <w:rPr>
                <w:rFonts w:ascii="Arial" w:cs="Arial" w:eastAsia="Arial" w:hAnsi="Arial"/>
                <w:rtl w:val="0"/>
              </w:rPr>
              <w:t xml:space="preserve">Not a hazardous substance according to Regulation (EC) No 1272/2008.</w:t>
            </w:r>
          </w:p>
        </w:tc>
        <w:tc>
          <w:tcPr/>
          <w:p w:rsidR="00000000" w:rsidDel="00000000" w:rsidP="00000000" w:rsidRDefault="00000000" w:rsidRPr="00000000" w14:paraId="00000038">
            <w:pPr>
              <w:spacing w:after="80" w:before="80" w:line="276" w:lineRule="auto"/>
              <w:rPr>
                <w:rFonts w:ascii="Arial" w:cs="Arial" w:eastAsia="Arial" w:hAnsi="Arial"/>
              </w:rPr>
            </w:pPr>
            <w:r w:rsidDel="00000000" w:rsidR="00000000" w:rsidRPr="00000000">
              <w:rPr>
                <w:rFonts w:ascii="Arial" w:cs="Arial" w:eastAsia="Arial" w:hAnsi="Arial"/>
                <w:rtl w:val="0"/>
              </w:rPr>
              <w:t xml:space="preserve">Electrophoresis grade agarose </w:t>
            </w:r>
            <w:hyperlink r:id="rId14">
              <w:r w:rsidDel="00000000" w:rsidR="00000000" w:rsidRPr="00000000">
                <w:rPr>
                  <w:rFonts w:ascii="Arial" w:cs="Arial" w:eastAsia="Arial" w:hAnsi="Arial"/>
                  <w:color w:val="0563c1"/>
                  <w:u w:val="single"/>
                  <w:rtl w:val="0"/>
                </w:rPr>
                <w:t xml:space="preserve">SDS</w:t>
              </w:r>
            </w:hyperlink>
            <w:r w:rsidDel="00000000" w:rsidR="00000000" w:rsidRPr="00000000">
              <w:rPr>
                <w:rtl w:val="0"/>
              </w:rPr>
            </w:r>
          </w:p>
        </w:tc>
      </w:tr>
      <w:tr>
        <w:trPr>
          <w:cantSplit w:val="0"/>
          <w:trHeight w:val="283" w:hRule="atLeast"/>
          <w:tblHeader w:val="0"/>
        </w:trPr>
        <w:tc>
          <w:tcPr>
            <w:shd w:fill="f2f2f2" w:val="clear"/>
          </w:tcPr>
          <w:p w:rsidR="00000000" w:rsidDel="00000000" w:rsidP="00000000" w:rsidRDefault="00000000" w:rsidRPr="00000000" w14:paraId="00000039">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Hazard</w:t>
            </w:r>
            <w:r w:rsidDel="00000000" w:rsidR="00000000" w:rsidRPr="00000000">
              <w:rPr>
                <w:rtl w:val="0"/>
              </w:rPr>
            </w:r>
          </w:p>
        </w:tc>
        <w:tc>
          <w:tcPr>
            <w:shd w:fill="f2f2f2" w:val="clear"/>
          </w:tcPr>
          <w:p w:rsidR="00000000" w:rsidDel="00000000" w:rsidP="00000000" w:rsidRDefault="00000000" w:rsidRPr="00000000" w14:paraId="0000003A">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Name </w:t>
            </w:r>
            <w:r w:rsidDel="00000000" w:rsidR="00000000" w:rsidRPr="00000000">
              <w:rPr>
                <w:rtl w:val="0"/>
              </w:rPr>
            </w:r>
          </w:p>
        </w:tc>
        <w:tc>
          <w:tcPr>
            <w:shd w:fill="f2f2f2" w:val="clear"/>
          </w:tcPr>
          <w:p w:rsidR="00000000" w:rsidDel="00000000" w:rsidP="00000000" w:rsidRDefault="00000000" w:rsidRPr="00000000" w14:paraId="0000003B">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Description</w:t>
            </w:r>
            <w:r w:rsidDel="00000000" w:rsidR="00000000" w:rsidRPr="00000000">
              <w:rPr>
                <w:rtl w:val="0"/>
              </w:rPr>
            </w:r>
          </w:p>
        </w:tc>
        <w:tc>
          <w:tcPr>
            <w:shd w:fill="f2f2f2" w:val="clear"/>
          </w:tcPr>
          <w:p w:rsidR="00000000" w:rsidDel="00000000" w:rsidP="00000000" w:rsidRDefault="00000000" w:rsidRPr="00000000" w14:paraId="0000003C">
            <w:pPr>
              <w:spacing w:after="80" w:before="80" w:line="276" w:lineRule="auto"/>
              <w:rPr>
                <w:rFonts w:ascii="Arial" w:cs="Arial" w:eastAsia="Arial" w:hAnsi="Arial"/>
              </w:rPr>
            </w:pPr>
            <w:r w:rsidDel="00000000" w:rsidR="00000000" w:rsidRPr="00000000">
              <w:rPr>
                <w:rFonts w:ascii="Arial" w:cs="Arial" w:eastAsia="Arial" w:hAnsi="Arial"/>
                <w:b w:val="1"/>
                <w:rtl w:val="0"/>
              </w:rPr>
              <w:t xml:space="preserve">Links</w:t>
            </w:r>
            <w:r w:rsidDel="00000000" w:rsidR="00000000" w:rsidRPr="00000000">
              <w:rPr>
                <w:rtl w:val="0"/>
              </w:rPr>
            </w:r>
          </w:p>
        </w:tc>
      </w:tr>
      <w:tr>
        <w:trPr>
          <w:cantSplit w:val="0"/>
          <w:trHeight w:val="283" w:hRule="atLeast"/>
          <w:tblHeader w:val="0"/>
        </w:trPr>
        <w:tc>
          <w:tcPr>
            <w:vMerge w:val="restart"/>
            <w:vAlign w:val="center"/>
          </w:tcPr>
          <w:p w:rsidR="00000000" w:rsidDel="00000000" w:rsidP="00000000" w:rsidRDefault="00000000" w:rsidRPr="00000000" w14:paraId="0000003D">
            <w:pPr>
              <w:spacing w:after="80" w:before="8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Ergonomics</w:t>
            </w:r>
          </w:p>
        </w:tc>
        <w:tc>
          <w:tcPr>
            <w:vAlign w:val="center"/>
          </w:tcPr>
          <w:p w:rsidR="00000000" w:rsidDel="00000000" w:rsidP="00000000" w:rsidRDefault="00000000" w:rsidRPr="00000000" w14:paraId="0000003E">
            <w:pPr>
              <w:spacing w:after="80" w:before="80" w:line="276" w:lineRule="auto"/>
              <w:rPr>
                <w:rFonts w:ascii="Arial" w:cs="Arial" w:eastAsia="Arial" w:hAnsi="Arial"/>
              </w:rPr>
            </w:pPr>
            <w:r w:rsidDel="00000000" w:rsidR="00000000" w:rsidRPr="00000000">
              <w:rPr>
                <w:rFonts w:ascii="Arial" w:cs="Arial" w:eastAsia="Arial" w:hAnsi="Arial"/>
                <w:rtl w:val="0"/>
              </w:rPr>
              <w:t xml:space="preserve">Micropipetting  posture</w:t>
            </w:r>
          </w:p>
        </w:tc>
        <w:tc>
          <w:tcPr/>
          <w:p w:rsidR="00000000" w:rsidDel="00000000" w:rsidP="00000000" w:rsidRDefault="00000000" w:rsidRPr="00000000" w14:paraId="0000003F">
            <w:pPr>
              <w:spacing w:after="80" w:before="80" w:line="276" w:lineRule="auto"/>
              <w:rPr>
                <w:rFonts w:ascii="Arial" w:cs="Arial" w:eastAsia="Arial" w:hAnsi="Arial"/>
              </w:rPr>
            </w:pPr>
            <w:r w:rsidDel="00000000" w:rsidR="00000000" w:rsidRPr="00000000">
              <w:rPr>
                <w:rFonts w:ascii="Arial" w:cs="Arial" w:eastAsia="Arial" w:hAnsi="Arial"/>
                <w:rtl w:val="0"/>
              </w:rPr>
              <w:t xml:space="preserve">Using a micropipette involves using shoulder, wrist and hand movements that could cause muscular injury if used repeatedly over at least 2 consecutive hours per working day.</w:t>
            </w:r>
          </w:p>
        </w:tc>
        <w:tc>
          <w:tcPr/>
          <w:p w:rsidR="00000000" w:rsidDel="00000000" w:rsidP="00000000" w:rsidRDefault="00000000" w:rsidRPr="00000000" w14:paraId="00000040">
            <w:pPr>
              <w:spacing w:after="80" w:before="80" w:line="276" w:lineRule="auto"/>
              <w:rPr>
                <w:rFonts w:ascii="Arial" w:cs="Arial" w:eastAsia="Arial" w:hAnsi="Arial"/>
              </w:rPr>
            </w:pPr>
            <w:r w:rsidDel="00000000" w:rsidR="00000000" w:rsidRPr="00000000">
              <w:rPr>
                <w:rtl w:val="0"/>
              </w:rPr>
            </w:r>
          </w:p>
        </w:tc>
      </w:tr>
      <w:tr>
        <w:trPr>
          <w:cantSplit w:val="0"/>
          <w:trHeight w:val="283" w:hRule="atLeast"/>
          <w:tblHeader w:val="0"/>
        </w:trPr>
        <w:tc>
          <w:tcPr>
            <w:vMerge w:val="continue"/>
            <w:vAlign w:val="cente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2">
            <w:pPr>
              <w:spacing w:after="80" w:before="80" w:line="276" w:lineRule="auto"/>
              <w:rPr>
                <w:rFonts w:ascii="Arial" w:cs="Arial" w:eastAsia="Arial" w:hAnsi="Arial"/>
              </w:rPr>
            </w:pPr>
            <w:r w:rsidDel="00000000" w:rsidR="00000000" w:rsidRPr="00000000">
              <w:rPr>
                <w:rFonts w:ascii="Arial" w:cs="Arial" w:eastAsia="Arial" w:hAnsi="Arial"/>
                <w:rtl w:val="0"/>
              </w:rPr>
              <w:t xml:space="preserve">Environmental factors</w:t>
            </w:r>
          </w:p>
        </w:tc>
        <w:tc>
          <w:tcPr/>
          <w:p w:rsidR="00000000" w:rsidDel="00000000" w:rsidP="00000000" w:rsidRDefault="00000000" w:rsidRPr="00000000" w14:paraId="00000043">
            <w:pPr>
              <w:spacing w:after="80" w:before="80" w:line="276" w:lineRule="auto"/>
              <w:rPr>
                <w:rFonts w:ascii="Arial" w:cs="Arial" w:eastAsia="Arial" w:hAnsi="Arial"/>
              </w:rPr>
            </w:pPr>
            <w:r w:rsidDel="00000000" w:rsidR="00000000" w:rsidRPr="00000000">
              <w:rPr>
                <w:rFonts w:ascii="Arial" w:cs="Arial" w:eastAsia="Arial" w:hAnsi="Arial"/>
                <w:rtl w:val="0"/>
              </w:rPr>
              <w:t xml:space="preserve">Environmental factors, including insufficient space, low lighting levels and strong air movements or drafts could be a hazard.</w:t>
            </w:r>
          </w:p>
        </w:tc>
        <w:tc>
          <w:tcPr/>
          <w:p w:rsidR="00000000" w:rsidDel="00000000" w:rsidP="00000000" w:rsidRDefault="00000000" w:rsidRPr="00000000" w14:paraId="00000044">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restart"/>
            <w:vAlign w:val="center"/>
          </w:tcPr>
          <w:p w:rsidR="00000000" w:rsidDel="00000000" w:rsidP="00000000" w:rsidRDefault="00000000" w:rsidRPr="00000000" w14:paraId="00000045">
            <w:pPr>
              <w:spacing w:after="80" w:before="8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Physical hazards</w:t>
            </w:r>
          </w:p>
        </w:tc>
        <w:tc>
          <w:tcPr>
            <w:vAlign w:val="center"/>
          </w:tcPr>
          <w:p w:rsidR="00000000" w:rsidDel="00000000" w:rsidP="00000000" w:rsidRDefault="00000000" w:rsidRPr="00000000" w14:paraId="00000046">
            <w:pPr>
              <w:spacing w:after="80" w:before="80" w:line="276" w:lineRule="auto"/>
              <w:rPr>
                <w:rFonts w:ascii="Arial" w:cs="Arial" w:eastAsia="Arial" w:hAnsi="Arial"/>
              </w:rPr>
            </w:pPr>
            <w:r w:rsidDel="00000000" w:rsidR="00000000" w:rsidRPr="00000000">
              <w:rPr>
                <w:rFonts w:ascii="Arial" w:cs="Arial" w:eastAsia="Arial" w:hAnsi="Arial"/>
                <w:rtl w:val="0"/>
              </w:rPr>
              <w:t xml:space="preserve">Equipment</w:t>
            </w:r>
          </w:p>
        </w:tc>
        <w:tc>
          <w:tcPr/>
          <w:p w:rsidR="00000000" w:rsidDel="00000000" w:rsidP="00000000" w:rsidRDefault="00000000" w:rsidRPr="00000000" w14:paraId="00000047">
            <w:pPr>
              <w:spacing w:after="80" w:before="80" w:line="276" w:lineRule="auto"/>
              <w:rPr>
                <w:rFonts w:ascii="Arial" w:cs="Arial" w:eastAsia="Arial" w:hAnsi="Arial"/>
              </w:rPr>
            </w:pPr>
            <w:r w:rsidDel="00000000" w:rsidR="00000000" w:rsidRPr="00000000">
              <w:rPr>
                <w:rFonts w:ascii="Arial" w:cs="Arial" w:eastAsia="Arial" w:hAnsi="Arial"/>
                <w:rtl w:val="0"/>
              </w:rPr>
              <w:t xml:space="preserve">The MiniOne Electrophoresis system and a microwave (if used) are powered by 240V.</w:t>
            </w:r>
          </w:p>
        </w:tc>
        <w:tc>
          <w:tcPr/>
          <w:p w:rsidR="00000000" w:rsidDel="00000000" w:rsidP="00000000" w:rsidRDefault="00000000" w:rsidRPr="00000000" w14:paraId="00000048">
            <w:pPr>
              <w:spacing w:after="80" w:before="80" w:line="276" w:lineRule="auto"/>
              <w:rPr>
                <w:rFonts w:ascii="Arial" w:cs="Arial" w:eastAsia="Arial" w:hAnsi="Arial"/>
              </w:rPr>
            </w:pPr>
            <w:r w:rsidDel="00000000" w:rsidR="00000000" w:rsidRPr="00000000">
              <w:rPr>
                <w:rFonts w:ascii="Arial" w:cs="Arial" w:eastAsia="Arial" w:hAnsi="Arial"/>
                <w:rtl w:val="0"/>
              </w:rPr>
              <w:t xml:space="preserve">MiniOne ® electrophoresis system - </w:t>
            </w:r>
            <w:hyperlink r:id="rId15">
              <w:r w:rsidDel="00000000" w:rsidR="00000000" w:rsidRPr="00000000">
                <w:rPr>
                  <w:rFonts w:ascii="Arial" w:cs="Arial" w:eastAsia="Arial" w:hAnsi="Arial"/>
                  <w:color w:val="0563c1"/>
                  <w:u w:val="single"/>
                  <w:rtl w:val="0"/>
                </w:rPr>
                <w:t xml:space="preserve">Instruction manual</w:t>
              </w:r>
            </w:hyperlink>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A">
            <w:pPr>
              <w:spacing w:after="80" w:before="80" w:line="276" w:lineRule="auto"/>
              <w:rPr>
                <w:rFonts w:ascii="Arial" w:cs="Arial" w:eastAsia="Arial" w:hAnsi="Arial"/>
              </w:rPr>
            </w:pPr>
            <w:r w:rsidDel="00000000" w:rsidR="00000000" w:rsidRPr="00000000">
              <w:rPr>
                <w:rFonts w:ascii="Arial" w:cs="Arial" w:eastAsia="Arial" w:hAnsi="Arial"/>
                <w:rtl w:val="0"/>
              </w:rPr>
              <w:t xml:space="preserve">Equipment</w:t>
            </w:r>
          </w:p>
        </w:tc>
        <w:tc>
          <w:tcPr/>
          <w:p w:rsidR="00000000" w:rsidDel="00000000" w:rsidP="00000000" w:rsidRDefault="00000000" w:rsidRPr="00000000" w14:paraId="0000004B">
            <w:pPr>
              <w:spacing w:after="80" w:before="80" w:line="276" w:lineRule="auto"/>
              <w:rPr>
                <w:rFonts w:ascii="Arial" w:cs="Arial" w:eastAsia="Arial" w:hAnsi="Arial"/>
              </w:rPr>
            </w:pPr>
            <w:r w:rsidDel="00000000" w:rsidR="00000000" w:rsidRPr="00000000">
              <w:rPr>
                <w:rFonts w:ascii="Arial" w:cs="Arial" w:eastAsia="Arial" w:hAnsi="Arial"/>
                <w:rtl w:val="0"/>
              </w:rPr>
              <w:t xml:space="preserve">The MiniOne electrophoresis system has a 42V current running through the 1 x TAE electrophoresis buffer.</w:t>
            </w:r>
          </w:p>
        </w:tc>
        <w:tc>
          <w:tcPr/>
          <w:p w:rsidR="00000000" w:rsidDel="00000000" w:rsidP="00000000" w:rsidRDefault="00000000" w:rsidRPr="00000000" w14:paraId="0000004C">
            <w:pPr>
              <w:spacing w:after="80" w:before="80" w:line="276" w:lineRule="auto"/>
              <w:rPr>
                <w:rFonts w:ascii="Arial" w:cs="Arial" w:eastAsia="Arial" w:hAnsi="Arial"/>
              </w:rPr>
            </w:pPr>
            <w:r w:rsidDel="00000000" w:rsidR="00000000" w:rsidRPr="00000000">
              <w:rPr>
                <w:rFonts w:ascii="Arial" w:cs="Arial" w:eastAsia="Arial" w:hAnsi="Arial"/>
                <w:rtl w:val="0"/>
              </w:rPr>
              <w:t xml:space="preserve">MiniOne ® electrophoresis system - </w:t>
            </w:r>
            <w:hyperlink r:id="rId16">
              <w:r w:rsidDel="00000000" w:rsidR="00000000" w:rsidRPr="00000000">
                <w:rPr>
                  <w:rFonts w:ascii="Arial" w:cs="Arial" w:eastAsia="Arial" w:hAnsi="Arial"/>
                  <w:color w:val="0563c1"/>
                  <w:u w:val="single"/>
                  <w:rtl w:val="0"/>
                </w:rPr>
                <w:t xml:space="preserve">Instruction manual</w:t>
              </w:r>
            </w:hyperlink>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E">
            <w:pPr>
              <w:spacing w:after="80" w:before="80" w:line="276" w:lineRule="auto"/>
              <w:rPr>
                <w:rFonts w:ascii="Arial" w:cs="Arial" w:eastAsia="Arial" w:hAnsi="Arial"/>
              </w:rPr>
            </w:pPr>
            <w:r w:rsidDel="00000000" w:rsidR="00000000" w:rsidRPr="00000000">
              <w:rPr>
                <w:rFonts w:ascii="Arial" w:cs="Arial" w:eastAsia="Arial" w:hAnsi="Arial"/>
                <w:rtl w:val="0"/>
              </w:rPr>
              <w:t xml:space="preserve">Heat</w:t>
            </w:r>
          </w:p>
        </w:tc>
        <w:tc>
          <w:tcPr/>
          <w:p w:rsidR="00000000" w:rsidDel="00000000" w:rsidP="00000000" w:rsidRDefault="00000000" w:rsidRPr="00000000" w14:paraId="0000004F">
            <w:pPr>
              <w:spacing w:after="80" w:before="80" w:line="276" w:lineRule="auto"/>
              <w:rPr>
                <w:rFonts w:ascii="Arial" w:cs="Arial" w:eastAsia="Arial" w:hAnsi="Arial"/>
              </w:rPr>
            </w:pPr>
            <w:r w:rsidDel="00000000" w:rsidR="00000000" w:rsidRPr="00000000">
              <w:rPr>
                <w:rFonts w:ascii="Arial" w:cs="Arial" w:eastAsia="Arial" w:hAnsi="Arial"/>
                <w:rtl w:val="0"/>
              </w:rPr>
              <w:t xml:space="preserve">Preparation of agarose gels by heating agarose in 1 x TAE buffer produce super-heated molten agarose, liable to bubble up within a container when swirled or knocked.</w:t>
            </w:r>
          </w:p>
        </w:tc>
        <w:tc>
          <w:tcPr/>
          <w:p w:rsidR="00000000" w:rsidDel="00000000" w:rsidP="00000000" w:rsidRDefault="00000000" w:rsidRPr="00000000" w14:paraId="00000050">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restart"/>
            <w:vAlign w:val="center"/>
          </w:tcPr>
          <w:p w:rsidR="00000000" w:rsidDel="00000000" w:rsidP="00000000" w:rsidRDefault="00000000" w:rsidRPr="00000000" w14:paraId="00000051">
            <w:pPr>
              <w:spacing w:after="80" w:before="80" w:line="276" w:lineRule="auto"/>
              <w:ind w:left="113" w:right="113" w:firstLine="0"/>
              <w:jc w:val="center"/>
              <w:rPr>
                <w:rFonts w:ascii="Arial" w:cs="Arial" w:eastAsia="Arial" w:hAnsi="Arial"/>
              </w:rPr>
            </w:pPr>
            <w:r w:rsidDel="00000000" w:rsidR="00000000" w:rsidRPr="00000000">
              <w:rPr>
                <w:rFonts w:ascii="Arial" w:cs="Arial" w:eastAsia="Arial" w:hAnsi="Arial"/>
                <w:rtl w:val="0"/>
              </w:rPr>
              <w:t xml:space="preserve">Vulnerable groups</w:t>
            </w:r>
          </w:p>
        </w:tc>
        <w:tc>
          <w:tcPr>
            <w:vAlign w:val="center"/>
          </w:tcPr>
          <w:p w:rsidR="00000000" w:rsidDel="00000000" w:rsidP="00000000" w:rsidRDefault="00000000" w:rsidRPr="00000000" w14:paraId="00000052">
            <w:pPr>
              <w:spacing w:after="80" w:before="80" w:line="276" w:lineRule="auto"/>
              <w:rPr>
                <w:rFonts w:ascii="Arial" w:cs="Arial" w:eastAsia="Arial" w:hAnsi="Arial"/>
              </w:rPr>
            </w:pPr>
            <w:r w:rsidDel="00000000" w:rsidR="00000000" w:rsidRPr="00000000">
              <w:rPr>
                <w:rFonts w:ascii="Arial" w:cs="Arial" w:eastAsia="Arial" w:hAnsi="Arial"/>
                <w:rtl w:val="0"/>
              </w:rPr>
              <w:t xml:space="preserve">Young people</w:t>
            </w:r>
          </w:p>
        </w:tc>
        <w:tc>
          <w:tcPr/>
          <w:p w:rsidR="00000000" w:rsidDel="00000000" w:rsidP="00000000" w:rsidRDefault="00000000" w:rsidRPr="00000000" w14:paraId="00000053">
            <w:pPr>
              <w:spacing w:after="80" w:before="80" w:line="276" w:lineRule="auto"/>
              <w:rPr>
                <w:rFonts w:ascii="Arial" w:cs="Arial" w:eastAsia="Arial" w:hAnsi="Arial"/>
              </w:rPr>
            </w:pPr>
            <w:r w:rsidDel="00000000" w:rsidR="00000000" w:rsidRPr="00000000">
              <w:rPr>
                <w:rFonts w:ascii="Arial" w:cs="Arial" w:eastAsia="Arial" w:hAnsi="Arial"/>
                <w:rtl w:val="0"/>
              </w:rPr>
              <w:t xml:space="preserve">Inexperience in laboratory procedures means that all hazards can give an increased risk to young people.</w:t>
            </w:r>
          </w:p>
        </w:tc>
        <w:tc>
          <w:tcPr/>
          <w:p w:rsidR="00000000" w:rsidDel="00000000" w:rsidP="00000000" w:rsidRDefault="00000000" w:rsidRPr="00000000" w14:paraId="00000054">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6">
            <w:pPr>
              <w:spacing w:after="80" w:before="80" w:line="276" w:lineRule="auto"/>
              <w:rPr>
                <w:rFonts w:ascii="Arial" w:cs="Arial" w:eastAsia="Arial" w:hAnsi="Arial"/>
              </w:rPr>
            </w:pPr>
            <w:r w:rsidDel="00000000" w:rsidR="00000000" w:rsidRPr="00000000">
              <w:rPr>
                <w:rFonts w:ascii="Arial" w:cs="Arial" w:eastAsia="Arial" w:hAnsi="Arial"/>
                <w:rtl w:val="0"/>
              </w:rPr>
              <w:t xml:space="preserve">New or expectant mother</w:t>
            </w:r>
          </w:p>
        </w:tc>
        <w:tc>
          <w:tcPr/>
          <w:p w:rsidR="00000000" w:rsidDel="00000000" w:rsidP="00000000" w:rsidRDefault="00000000" w:rsidRPr="00000000" w14:paraId="00000057">
            <w:pPr>
              <w:spacing w:after="80" w:before="80" w:line="276" w:lineRule="auto"/>
              <w:rPr>
                <w:rFonts w:ascii="Arial" w:cs="Arial" w:eastAsia="Arial" w:hAnsi="Arial"/>
              </w:rPr>
            </w:pPr>
            <w:r w:rsidDel="00000000" w:rsidR="00000000" w:rsidRPr="00000000">
              <w:rPr>
                <w:rFonts w:ascii="Arial" w:cs="Arial" w:eastAsia="Arial" w:hAnsi="Arial"/>
                <w:rtl w:val="0"/>
              </w:rPr>
              <w:t xml:space="preserve">All controls in place protect new or expectant mothers during laboratory procedures.</w:t>
            </w:r>
          </w:p>
        </w:tc>
        <w:tc>
          <w:tcPr/>
          <w:p w:rsidR="00000000" w:rsidDel="00000000" w:rsidP="00000000" w:rsidRDefault="00000000" w:rsidRPr="00000000" w14:paraId="00000058">
            <w:pPr>
              <w:spacing w:after="80" w:before="80" w:line="276" w:lineRule="auto"/>
              <w:rPr>
                <w:rFonts w:ascii="Arial" w:cs="Arial" w:eastAsia="Arial" w:hAnsi="Arial"/>
              </w:rPr>
            </w:pPr>
            <w:r w:rsidDel="00000000" w:rsidR="00000000" w:rsidRPr="00000000">
              <w:rPr>
                <w:rtl w:val="0"/>
              </w:rPr>
            </w:r>
          </w:p>
        </w:tc>
      </w:tr>
      <w:tr>
        <w:trPr>
          <w:cantSplit w:val="1"/>
          <w:trHeight w:val="67" w:hRule="atLeast"/>
          <w:tblHeader w:val="0"/>
        </w:trPr>
        <w:tc>
          <w:tcPr>
            <w:vMerge w:val="continue"/>
            <w:vAlign w:val="cente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A">
            <w:pPr>
              <w:spacing w:after="80" w:before="80" w:line="276" w:lineRule="auto"/>
              <w:rPr>
                <w:rFonts w:ascii="Arial" w:cs="Arial" w:eastAsia="Arial" w:hAnsi="Arial"/>
              </w:rPr>
            </w:pPr>
            <w:r w:rsidDel="00000000" w:rsidR="00000000" w:rsidRPr="00000000">
              <w:rPr>
                <w:rFonts w:ascii="Arial" w:cs="Arial" w:eastAsia="Arial" w:hAnsi="Arial"/>
                <w:rtl w:val="0"/>
              </w:rPr>
              <w:t xml:space="preserve">Disabilities and health issues</w:t>
            </w:r>
          </w:p>
        </w:tc>
        <w:tc>
          <w:tcPr/>
          <w:p w:rsidR="00000000" w:rsidDel="00000000" w:rsidP="00000000" w:rsidRDefault="00000000" w:rsidRPr="00000000" w14:paraId="0000005B">
            <w:pPr>
              <w:spacing w:after="80" w:before="80" w:line="276" w:lineRule="auto"/>
              <w:rPr>
                <w:rFonts w:ascii="Arial" w:cs="Arial" w:eastAsia="Arial" w:hAnsi="Arial"/>
              </w:rPr>
            </w:pPr>
            <w:r w:rsidDel="00000000" w:rsidR="00000000" w:rsidRPr="00000000">
              <w:rPr>
                <w:rFonts w:ascii="Arial" w:cs="Arial" w:eastAsia="Arial" w:hAnsi="Arial"/>
                <w:rtl w:val="0"/>
              </w:rPr>
              <w:t xml:space="preserve">Laboratory procedures can sometimes be more challenging for those with disabilities or health issues.</w:t>
            </w:r>
          </w:p>
        </w:tc>
        <w:tc>
          <w:tcPr/>
          <w:p w:rsidR="00000000" w:rsidDel="00000000" w:rsidP="00000000" w:rsidRDefault="00000000" w:rsidRPr="00000000" w14:paraId="0000005C">
            <w:pPr>
              <w:spacing w:after="80" w:before="80" w:line="276"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5D">
      <w:pPr>
        <w:rPr>
          <w:rFonts w:ascii="Arial" w:cs="Arial" w:eastAsia="Arial" w:hAnsi="Arial"/>
        </w:rPr>
      </w:pPr>
      <w:r w:rsidDel="00000000" w:rsidR="00000000" w:rsidRPr="00000000">
        <w:rPr>
          <w:rtl w:val="0"/>
        </w:rPr>
      </w:r>
    </w:p>
    <w:p w:rsidR="00000000" w:rsidDel="00000000" w:rsidP="00000000" w:rsidRDefault="00000000" w:rsidRPr="00000000" w14:paraId="0000005E">
      <w:pPr>
        <w:rPr>
          <w:rFonts w:ascii="Arial" w:cs="Arial" w:eastAsia="Arial" w:hAnsi="Arial"/>
        </w:rPr>
      </w:pPr>
      <w:r w:rsidDel="00000000" w:rsidR="00000000" w:rsidRPr="00000000">
        <w:rPr>
          <w:rtl w:val="0"/>
        </w:rPr>
      </w:r>
    </w:p>
    <w:p w:rsidR="00000000" w:rsidDel="00000000" w:rsidP="00000000" w:rsidRDefault="00000000" w:rsidRPr="00000000" w14:paraId="0000005F">
      <w:pPr>
        <w:rPr>
          <w:rFonts w:ascii="Arial" w:cs="Arial" w:eastAsia="Arial" w:hAnsi="Arial"/>
        </w:rPr>
      </w:pPr>
      <w:r w:rsidDel="00000000" w:rsidR="00000000" w:rsidRPr="00000000">
        <w:rPr>
          <w:rtl w:val="0"/>
        </w:rPr>
      </w:r>
    </w:p>
    <w:p w:rsidR="00000000" w:rsidDel="00000000" w:rsidP="00000000" w:rsidRDefault="00000000" w:rsidRPr="00000000" w14:paraId="00000060">
      <w:pPr>
        <w:rPr>
          <w:rFonts w:ascii="Arial" w:cs="Arial" w:eastAsia="Arial" w:hAnsi="Arial"/>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spacing w:before="80" w:lineRule="auto"/>
        <w:rPr>
          <w:rFonts w:ascii="Arial" w:cs="Arial" w:eastAsia="Arial" w:hAnsi="Arial"/>
        </w:rPr>
      </w:pPr>
      <w:r w:rsidDel="00000000" w:rsidR="00000000" w:rsidRPr="00000000">
        <w:rPr>
          <w:rFonts w:ascii="Arial" w:cs="Arial" w:eastAsia="Arial" w:hAnsi="Arial"/>
          <w:rtl w:val="0"/>
        </w:rPr>
        <w:t xml:space="preserve">When judging risks, it is assumed that:</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80" w:line="259" w:lineRule="auto"/>
        <w:ind w:left="76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students working in a science laboratory follow good laboratory practice, including: not eating or drinking in the lab, tying back long hair, keeping lab benches clear of clutter, clearing up spills immediately, handling materials and equipment with care, and washing hands with soap after completing lab work. </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6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users read, understand and follow guidance from the Health and Safety section in the student guides.</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63"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Waste disposal occurs following advice in the educator guides.</w:t>
      </w:r>
    </w:p>
    <w:p w:rsidR="00000000" w:rsidDel="00000000" w:rsidP="00000000" w:rsidRDefault="00000000" w:rsidRPr="00000000" w14:paraId="00000066">
      <w:pPr>
        <w:spacing w:before="80" w:lineRule="auto"/>
        <w:rPr>
          <w:rFonts w:ascii="Arial" w:cs="Arial" w:eastAsia="Arial" w:hAnsi="Arial"/>
        </w:rPr>
      </w:pPr>
      <w:r w:rsidDel="00000000" w:rsidR="00000000" w:rsidRPr="00000000">
        <w:rPr>
          <w:rFonts w:ascii="Arial" w:cs="Arial" w:eastAsia="Arial" w:hAnsi="Arial"/>
          <w:rtl w:val="0"/>
        </w:rPr>
        <w:t xml:space="preserve">Overall risk has been judged using the risk matrix below:</w:t>
      </w:r>
    </w:p>
    <w:p w:rsidR="00000000" w:rsidDel="00000000" w:rsidP="00000000" w:rsidRDefault="00000000" w:rsidRPr="00000000" w14:paraId="00000067">
      <w:pPr>
        <w:spacing w:before="80" w:lineRule="auto"/>
        <w:rPr>
          <w:rFonts w:ascii="Arial" w:cs="Arial" w:eastAsia="Arial" w:hAnsi="Arial"/>
          <w:sz w:val="21"/>
          <w:szCs w:val="21"/>
        </w:rPr>
      </w:pPr>
      <w:r w:rsidDel="00000000" w:rsidR="00000000" w:rsidRPr="00000000">
        <w:rPr>
          <w:rFonts w:ascii="Arial" w:cs="Arial" w:eastAsia="Arial" w:hAnsi="Arial"/>
          <w:sz w:val="21"/>
          <w:szCs w:val="21"/>
        </w:rPr>
        <w:drawing>
          <wp:inline distB="0" distT="0" distL="0" distR="0">
            <wp:extent cx="6340533" cy="2085888"/>
            <wp:effectExtent b="0" l="0" r="0" t="0"/>
            <wp:docPr descr="A chart with different colored squares&#10;&#10;Description automatically generated with medium confidence" id="2039474674" name="image2.png"/>
            <a:graphic>
              <a:graphicData uri="http://schemas.openxmlformats.org/drawingml/2006/picture">
                <pic:pic>
                  <pic:nvPicPr>
                    <pic:cNvPr descr="A chart with different colored squares&#10;&#10;Description automatically generated with medium confidence" id="0" name="image2.png"/>
                    <pic:cNvPicPr preferRelativeResize="0"/>
                  </pic:nvPicPr>
                  <pic:blipFill>
                    <a:blip r:embed="rId17"/>
                    <a:srcRect b="0" l="0" r="0" t="0"/>
                    <a:stretch>
                      <a:fillRect/>
                    </a:stretch>
                  </pic:blipFill>
                  <pic:spPr>
                    <a:xfrm>
                      <a:off x="0" y="0"/>
                      <a:ext cx="6340533" cy="2085888"/>
                    </a:xfrm>
                    <a:prstGeom prst="rect"/>
                    <a:ln/>
                  </pic:spPr>
                </pic:pic>
              </a:graphicData>
            </a:graphic>
          </wp:inline>
        </w:drawing>
      </w:r>
      <w:r w:rsidDel="00000000" w:rsidR="00000000" w:rsidRPr="00000000">
        <w:rPr>
          <w:rtl w:val="0"/>
        </w:rPr>
      </w:r>
    </w:p>
    <w:p w:rsidR="00000000" w:rsidDel="00000000" w:rsidP="00000000" w:rsidRDefault="00000000" w:rsidRPr="00000000" w14:paraId="00000068">
      <w:pPr>
        <w:spacing w:before="80" w:lineRule="auto"/>
        <w:rPr>
          <w:rFonts w:ascii="Arial" w:cs="Arial" w:eastAsia="Arial" w:hAnsi="Arial"/>
          <w:sz w:val="21"/>
          <w:szCs w:val="21"/>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tbl>
      <w:tblPr>
        <w:tblStyle w:val="Table2"/>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6A">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Risk(s)</w:t>
            </w:r>
          </w:p>
        </w:tc>
        <w:tc>
          <w:tcPr>
            <w:shd w:fill="f2f2f2" w:val="clear"/>
          </w:tcPr>
          <w:p w:rsidR="00000000" w:rsidDel="00000000" w:rsidP="00000000" w:rsidRDefault="00000000" w:rsidRPr="00000000" w14:paraId="0000006B">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Safety precautions</w:t>
            </w:r>
          </w:p>
        </w:tc>
        <w:tc>
          <w:tcPr>
            <w:shd w:fill="f2f2f2" w:val="clear"/>
          </w:tcPr>
          <w:p w:rsidR="00000000" w:rsidDel="00000000" w:rsidP="00000000" w:rsidRDefault="00000000" w:rsidRPr="00000000" w14:paraId="0000006C">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Emergency procedures</w:t>
            </w:r>
          </w:p>
        </w:tc>
        <w:tc>
          <w:tcPr>
            <w:shd w:fill="f2f2f2" w:val="clear"/>
          </w:tcPr>
          <w:p w:rsidR="00000000" w:rsidDel="00000000" w:rsidP="00000000" w:rsidRDefault="00000000" w:rsidRPr="00000000" w14:paraId="0000006D">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Likelihood</w:t>
            </w:r>
          </w:p>
        </w:tc>
        <w:tc>
          <w:tcPr>
            <w:shd w:fill="f2f2f2" w:val="clear"/>
          </w:tcPr>
          <w:p w:rsidR="00000000" w:rsidDel="00000000" w:rsidP="00000000" w:rsidRDefault="00000000" w:rsidRPr="00000000" w14:paraId="0000006E">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Severity</w:t>
            </w:r>
          </w:p>
        </w:tc>
        <w:tc>
          <w:tcPr>
            <w:shd w:fill="f2f2f2" w:val="clear"/>
          </w:tcPr>
          <w:p w:rsidR="00000000" w:rsidDel="00000000" w:rsidP="00000000" w:rsidRDefault="00000000" w:rsidRPr="00000000" w14:paraId="0000006F">
            <w:pPr>
              <w:spacing w:after="192.00000000000003" w:before="192.00000000000003" w:line="276" w:lineRule="auto"/>
              <w:rPr>
                <w:rFonts w:ascii="Arial" w:cs="Arial" w:eastAsia="Arial" w:hAnsi="Arial"/>
                <w:b w:val="1"/>
              </w:rPr>
            </w:pPr>
            <w:r w:rsidDel="00000000" w:rsidR="00000000" w:rsidRPr="00000000">
              <w:rPr>
                <w:rFonts w:ascii="Arial" w:cs="Arial" w:eastAsia="Arial" w:hAnsi="Arial"/>
                <w:b w:val="1"/>
                <w:rtl w:val="0"/>
              </w:rPr>
              <w:t xml:space="preserve">Overall risk</w:t>
            </w:r>
          </w:p>
        </w:tc>
      </w:tr>
      <w:tr>
        <w:trPr>
          <w:cantSplit w:val="0"/>
          <w:trHeight w:val="295" w:hRule="atLeast"/>
          <w:tblHeader w:val="0"/>
        </w:trPr>
        <w:tc>
          <w:tcPr>
            <w:shd w:fill="auto" w:val="clear"/>
          </w:tcPr>
          <w:p w:rsidR="00000000" w:rsidDel="00000000" w:rsidP="00000000" w:rsidRDefault="00000000" w:rsidRPr="00000000" w14:paraId="00000070">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Contact with food dye </w:t>
            </w:r>
          </w:p>
        </w:tc>
        <w:tc>
          <w:tcPr>
            <w:shd w:fill="auto" w:val="clear"/>
          </w:tcPr>
          <w:p w:rsidR="00000000" w:rsidDel="00000000" w:rsidP="00000000" w:rsidRDefault="00000000" w:rsidRPr="00000000" w14:paraId="00000071">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Use good laboratory practice to avoid contact with skin and eyes.</w:t>
            </w:r>
          </w:p>
        </w:tc>
        <w:tc>
          <w:tcPr>
            <w:shd w:fill="auto" w:val="clear"/>
          </w:tcPr>
          <w:p w:rsidR="00000000" w:rsidDel="00000000" w:rsidP="00000000" w:rsidRDefault="00000000" w:rsidRPr="00000000" w14:paraId="00000072">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Wash hands under tap or eye using an eye bath.</w:t>
            </w:r>
          </w:p>
        </w:tc>
        <w:tc>
          <w:tcPr>
            <w:shd w:fill="auto" w:val="clear"/>
            <w:vAlign w:val="center"/>
          </w:tcPr>
          <w:p w:rsidR="00000000" w:rsidDel="00000000" w:rsidP="00000000" w:rsidRDefault="00000000" w:rsidRPr="00000000" w14:paraId="00000073">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Possible</w:t>
            </w:r>
          </w:p>
        </w:tc>
        <w:tc>
          <w:tcPr>
            <w:shd w:fill="auto" w:val="clear"/>
            <w:vAlign w:val="center"/>
          </w:tcPr>
          <w:p w:rsidR="00000000" w:rsidDel="00000000" w:rsidP="00000000" w:rsidRDefault="00000000" w:rsidRPr="00000000" w14:paraId="00000074">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75">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bl>
    <w:p w:rsidR="00000000" w:rsidDel="00000000" w:rsidP="00000000" w:rsidRDefault="00000000" w:rsidRPr="00000000" w14:paraId="00000076">
      <w:pPr>
        <w:rPr/>
      </w:pPr>
      <w:r w:rsidDel="00000000" w:rsidR="00000000" w:rsidRPr="00000000">
        <w:br w:type="page"/>
      </w:r>
      <w:r w:rsidDel="00000000" w:rsidR="00000000" w:rsidRPr="00000000">
        <w:rPr>
          <w:rtl w:val="0"/>
        </w:rPr>
      </w:r>
    </w:p>
    <w:tbl>
      <w:tblPr>
        <w:tblStyle w:val="Table3"/>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77">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78">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79">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7A">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7B">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7C">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7D">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Contact with dye solutions</w:t>
            </w:r>
          </w:p>
        </w:tc>
        <w:tc>
          <w:tcPr>
            <w:shd w:fill="auto" w:val="clear"/>
          </w:tcPr>
          <w:p w:rsidR="00000000" w:rsidDel="00000000" w:rsidP="00000000" w:rsidRDefault="00000000" w:rsidRPr="00000000" w14:paraId="0000007E">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Wear eye protection (safety glasses are sufficient).</w:t>
            </w:r>
          </w:p>
          <w:p w:rsidR="00000000" w:rsidDel="00000000" w:rsidP="00000000" w:rsidRDefault="00000000" w:rsidRPr="00000000" w14:paraId="0000007F">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Use non-powdered, nitrile gloves as a barrier to contact (eg; Kimtech nitrile gloves 99211).</w:t>
            </w:r>
          </w:p>
        </w:tc>
        <w:tc>
          <w:tcPr>
            <w:shd w:fill="auto" w:val="clear"/>
          </w:tcPr>
          <w:p w:rsidR="00000000" w:rsidDel="00000000" w:rsidP="00000000" w:rsidRDefault="00000000" w:rsidRPr="00000000" w14:paraId="00000080">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In case of contact with skin wash off with plenty of soap and water.</w:t>
            </w:r>
          </w:p>
          <w:p w:rsidR="00000000" w:rsidDel="00000000" w:rsidP="00000000" w:rsidRDefault="00000000" w:rsidRPr="00000000" w14:paraId="00000081">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If it gets into eyes, rinse with water using an eye bath for several minutes. Remove contact lenses, if present and easy to do. Continue rinsing.</w:t>
            </w:r>
          </w:p>
          <w:p w:rsidR="00000000" w:rsidDel="00000000" w:rsidP="00000000" w:rsidRDefault="00000000" w:rsidRPr="00000000" w14:paraId="00000082">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Seek medical advice if required.</w:t>
            </w:r>
          </w:p>
        </w:tc>
        <w:tc>
          <w:tcPr>
            <w:shd w:fill="auto" w:val="clear"/>
            <w:vAlign w:val="center"/>
          </w:tcPr>
          <w:p w:rsidR="00000000" w:rsidDel="00000000" w:rsidP="00000000" w:rsidRDefault="00000000" w:rsidRPr="00000000" w14:paraId="00000083">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84">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85">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86">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Contact with 1 x TAE buffer</w:t>
            </w:r>
          </w:p>
        </w:tc>
        <w:tc>
          <w:tcPr>
            <w:shd w:fill="auto" w:val="clear"/>
          </w:tcPr>
          <w:p w:rsidR="00000000" w:rsidDel="00000000" w:rsidP="00000000" w:rsidRDefault="00000000" w:rsidRPr="00000000" w14:paraId="00000087">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Wear eye protection (safety glasses are sufficient).</w:t>
            </w:r>
          </w:p>
          <w:p w:rsidR="00000000" w:rsidDel="00000000" w:rsidP="00000000" w:rsidRDefault="00000000" w:rsidRPr="00000000" w14:paraId="00000088">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Use non-powdered, nitrile gloves as a barrier to contact (eg; Kimtech nitrile gloves 99211).</w:t>
            </w:r>
          </w:p>
        </w:tc>
        <w:tc>
          <w:tcPr>
            <w:shd w:fill="auto" w:val="clear"/>
          </w:tcPr>
          <w:p w:rsidR="00000000" w:rsidDel="00000000" w:rsidP="00000000" w:rsidRDefault="00000000" w:rsidRPr="00000000" w14:paraId="00000089">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In case of contact with skin wash off with soap and water.</w:t>
            </w:r>
          </w:p>
          <w:p w:rsidR="00000000" w:rsidDel="00000000" w:rsidP="00000000" w:rsidRDefault="00000000" w:rsidRPr="00000000" w14:paraId="0000008A">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If it gets into eyes, rinse with water using an eye bath for several minutes. Remove contact lenses, if present and easy to do.</w:t>
            </w:r>
          </w:p>
          <w:p w:rsidR="00000000" w:rsidDel="00000000" w:rsidP="00000000" w:rsidRDefault="00000000" w:rsidRPr="00000000" w14:paraId="0000008B">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Seek medical advice if required.</w:t>
            </w:r>
          </w:p>
        </w:tc>
        <w:tc>
          <w:tcPr>
            <w:shd w:fill="auto" w:val="clear"/>
            <w:vAlign w:val="center"/>
          </w:tcPr>
          <w:p w:rsidR="00000000" w:rsidDel="00000000" w:rsidP="00000000" w:rsidRDefault="00000000" w:rsidRPr="00000000" w14:paraId="0000008C">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 </w:t>
            </w:r>
          </w:p>
        </w:tc>
        <w:tc>
          <w:tcPr>
            <w:shd w:fill="auto" w:val="clear"/>
            <w:vAlign w:val="center"/>
          </w:tcPr>
          <w:p w:rsidR="00000000" w:rsidDel="00000000" w:rsidP="00000000" w:rsidRDefault="00000000" w:rsidRPr="00000000" w14:paraId="0000008D">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8E">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bl>
    <w:p w:rsidR="00000000" w:rsidDel="00000000" w:rsidP="00000000" w:rsidRDefault="00000000" w:rsidRPr="00000000" w14:paraId="0000008F">
      <w:pPr>
        <w:rPr/>
      </w:pPr>
      <w:r w:rsidDel="00000000" w:rsidR="00000000" w:rsidRPr="00000000">
        <w:br w:type="page"/>
      </w:r>
      <w:r w:rsidDel="00000000" w:rsidR="00000000" w:rsidRPr="00000000">
        <w:rPr>
          <w:rtl w:val="0"/>
        </w:rPr>
      </w:r>
    </w:p>
    <w:tbl>
      <w:tblPr>
        <w:tblStyle w:val="Table4"/>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90">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91">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92">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93">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94">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95">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96">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Unsafe disposal of chemical substances</w:t>
            </w:r>
          </w:p>
        </w:tc>
        <w:tc>
          <w:tcPr>
            <w:shd w:fill="auto" w:val="clear"/>
          </w:tcPr>
          <w:p w:rsidR="00000000" w:rsidDel="00000000" w:rsidP="00000000" w:rsidRDefault="00000000" w:rsidRPr="00000000" w14:paraId="00000097">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Discard single-use disposable items, such as pipette tips, and microfuge tubes, into labelled disposable plastic jars for safe disposal. </w:t>
            </w:r>
          </w:p>
          <w:p w:rsidR="00000000" w:rsidDel="00000000" w:rsidP="00000000" w:rsidRDefault="00000000" w:rsidRPr="00000000" w14:paraId="00000098">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Wear safety glasses whilst disposing of electrophoresis buffer down the sink with copious amounts of water. </w:t>
            </w:r>
          </w:p>
          <w:p w:rsidR="00000000" w:rsidDel="00000000" w:rsidP="00000000" w:rsidRDefault="00000000" w:rsidRPr="00000000" w14:paraId="00000099">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Gels can be disposed with the rest of the lab waste as all is non-hazardous.</w:t>
            </w:r>
          </w:p>
        </w:tc>
        <w:tc>
          <w:tcPr>
            <w:shd w:fill="auto" w:val="clear"/>
          </w:tcPr>
          <w:p w:rsidR="00000000" w:rsidDel="00000000" w:rsidP="00000000" w:rsidRDefault="00000000" w:rsidRPr="00000000" w14:paraId="0000009A">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If contact is made with skin during disposal of chemical substances, wash with plenty of soap and water.</w:t>
            </w:r>
          </w:p>
          <w:p w:rsidR="00000000" w:rsidDel="00000000" w:rsidP="00000000" w:rsidRDefault="00000000" w:rsidRPr="00000000" w14:paraId="0000009B">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If chemical substances go into eyes during disposal, rinse with water using an eye bath for several minutes. Remove contact lenses, if present and easy to do. Continue rinsing.</w:t>
            </w:r>
          </w:p>
          <w:p w:rsidR="00000000" w:rsidDel="00000000" w:rsidP="00000000" w:rsidRDefault="00000000" w:rsidRPr="00000000" w14:paraId="0000009C">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Seek medical advice if required.</w:t>
            </w:r>
          </w:p>
        </w:tc>
        <w:tc>
          <w:tcPr>
            <w:shd w:fill="auto" w:val="clear"/>
            <w:vAlign w:val="center"/>
          </w:tcPr>
          <w:p w:rsidR="00000000" w:rsidDel="00000000" w:rsidP="00000000" w:rsidRDefault="00000000" w:rsidRPr="00000000" w14:paraId="0000009D">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9E">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9F">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A0">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Shoulders / wrists / hands sore from micropipette use</w:t>
            </w:r>
          </w:p>
        </w:tc>
        <w:tc>
          <w:tcPr>
            <w:shd w:fill="auto" w:val="clear"/>
          </w:tcPr>
          <w:p w:rsidR="00000000" w:rsidDel="00000000" w:rsidP="00000000" w:rsidRDefault="00000000" w:rsidRPr="00000000" w14:paraId="000000A1">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Don’t micropipette for long periods (&gt;2 hours) without a break. Stretching is recommended every 20 minutes to minimise risk.</w:t>
            </w:r>
          </w:p>
        </w:tc>
        <w:tc>
          <w:tcPr>
            <w:shd w:fill="auto" w:val="clear"/>
          </w:tcPr>
          <w:p w:rsidR="00000000" w:rsidDel="00000000" w:rsidP="00000000" w:rsidRDefault="00000000" w:rsidRPr="00000000" w14:paraId="000000A2">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If shoulders, wrists or hands become sore, stop pipetting and stretch.</w:t>
            </w:r>
          </w:p>
        </w:tc>
        <w:tc>
          <w:tcPr>
            <w:shd w:fill="auto" w:val="clear"/>
            <w:vAlign w:val="center"/>
          </w:tcPr>
          <w:p w:rsidR="00000000" w:rsidDel="00000000" w:rsidP="00000000" w:rsidRDefault="00000000" w:rsidRPr="00000000" w14:paraId="000000A3">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A4">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A5">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A6">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Inappropriate environment</w:t>
            </w:r>
          </w:p>
        </w:tc>
        <w:tc>
          <w:tcPr>
            <w:shd w:fill="auto" w:val="clear"/>
          </w:tcPr>
          <w:p w:rsidR="00000000" w:rsidDel="00000000" w:rsidP="00000000" w:rsidRDefault="00000000" w:rsidRPr="00000000" w14:paraId="000000A7">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Ensure that laboratory work is carried out with sufficient space, lighting and without strong air movements or drafts.</w:t>
            </w:r>
          </w:p>
        </w:tc>
        <w:tc>
          <w:tcPr>
            <w:shd w:fill="auto" w:val="clear"/>
          </w:tcPr>
          <w:p w:rsidR="00000000" w:rsidDel="00000000" w:rsidP="00000000" w:rsidRDefault="00000000" w:rsidRPr="00000000" w14:paraId="000000A8">
            <w:pPr>
              <w:spacing w:after="192.00000000000003" w:before="192.00000000000003" w:line="276" w:lineRule="auto"/>
              <w:rPr>
                <w:rFonts w:ascii="Arial" w:cs="Arial" w:eastAsia="Arial" w:hAnsi="Arial"/>
              </w:rPr>
            </w:pPr>
            <w:r w:rsidDel="00000000" w:rsidR="00000000" w:rsidRPr="00000000">
              <w:rPr>
                <w:rFonts w:ascii="Arial" w:cs="Arial" w:eastAsia="Arial" w:hAnsi="Arial"/>
                <w:rtl w:val="0"/>
              </w:rPr>
              <w:t xml:space="preserve">Stop work immediately if the environment becomes unsuitable (eg; if lights go out). </w:t>
            </w:r>
          </w:p>
        </w:tc>
        <w:tc>
          <w:tcPr>
            <w:shd w:fill="auto" w:val="clear"/>
            <w:vAlign w:val="center"/>
          </w:tcPr>
          <w:p w:rsidR="00000000" w:rsidDel="00000000" w:rsidP="00000000" w:rsidRDefault="00000000" w:rsidRPr="00000000" w14:paraId="000000A9">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Rare</w:t>
            </w:r>
          </w:p>
        </w:tc>
        <w:tc>
          <w:tcPr>
            <w:shd w:fill="auto" w:val="clear"/>
            <w:vAlign w:val="center"/>
          </w:tcPr>
          <w:p w:rsidR="00000000" w:rsidDel="00000000" w:rsidP="00000000" w:rsidRDefault="00000000" w:rsidRPr="00000000" w14:paraId="000000AA">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Minor</w:t>
            </w:r>
          </w:p>
        </w:tc>
        <w:tc>
          <w:tcPr>
            <w:shd w:fill="92d050" w:val="clear"/>
            <w:vAlign w:val="center"/>
          </w:tcPr>
          <w:p w:rsidR="00000000" w:rsidDel="00000000" w:rsidP="00000000" w:rsidRDefault="00000000" w:rsidRPr="00000000" w14:paraId="000000AB">
            <w:pPr>
              <w:spacing w:after="192.00000000000003" w:before="192.00000000000003"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bl>
    <w:p w:rsidR="00000000" w:rsidDel="00000000" w:rsidP="00000000" w:rsidRDefault="00000000" w:rsidRPr="00000000" w14:paraId="000000AC">
      <w:pPr>
        <w:rPr/>
      </w:pPr>
      <w:r w:rsidDel="00000000" w:rsidR="00000000" w:rsidRPr="00000000">
        <w:br w:type="page"/>
      </w:r>
      <w:r w:rsidDel="00000000" w:rsidR="00000000" w:rsidRPr="00000000">
        <w:rPr>
          <w:rtl w:val="0"/>
        </w:rPr>
      </w:r>
    </w:p>
    <w:tbl>
      <w:tblPr>
        <w:tblStyle w:val="Table5"/>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AD">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AE">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AF">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B0">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B1">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B2">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B3">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of electrical equipment </w:t>
            </w:r>
          </w:p>
        </w:tc>
        <w:tc>
          <w:tcPr>
            <w:shd w:fill="auto" w:val="clear"/>
          </w:tcPr>
          <w:p w:rsidR="00000000" w:rsidDel="00000000" w:rsidP="00000000" w:rsidRDefault="00000000" w:rsidRPr="00000000" w14:paraId="000000B4">
            <w:pPr>
              <w:spacing w:after="120" w:before="120" w:line="276" w:lineRule="auto"/>
              <w:rPr>
                <w:rFonts w:ascii="Arial" w:cs="Arial" w:eastAsia="Arial" w:hAnsi="Arial"/>
              </w:rPr>
            </w:pPr>
            <w:r w:rsidDel="00000000" w:rsidR="00000000" w:rsidRPr="00000000">
              <w:rPr>
                <w:rFonts w:ascii="Arial" w:cs="Arial" w:eastAsia="Arial" w:hAnsi="Arial"/>
                <w:rtl w:val="0"/>
              </w:rPr>
              <w:t xml:space="preserve">Manufacturer's instructions are read </w:t>
            </w:r>
            <w:r w:rsidDel="00000000" w:rsidR="00000000" w:rsidRPr="00000000">
              <w:rPr>
                <w:rFonts w:ascii="Arial" w:cs="Arial" w:eastAsia="Arial" w:hAnsi="Arial"/>
                <w:sz w:val="22"/>
                <w:szCs w:val="22"/>
                <w:rtl w:val="0"/>
              </w:rPr>
              <w:t xml:space="preserve">by supervisors </w:t>
            </w:r>
            <w:r w:rsidDel="00000000" w:rsidR="00000000" w:rsidRPr="00000000">
              <w:rPr>
                <w:rFonts w:ascii="Arial" w:cs="Arial" w:eastAsia="Arial" w:hAnsi="Arial"/>
                <w:rtl w:val="0"/>
              </w:rPr>
              <w:t xml:space="preserve">and available for reference. </w:t>
            </w:r>
          </w:p>
          <w:p w:rsidR="00000000" w:rsidDel="00000000" w:rsidP="00000000" w:rsidRDefault="00000000" w:rsidRPr="00000000" w14:paraId="000000B5">
            <w:pPr>
              <w:spacing w:after="120" w:before="120" w:line="276" w:lineRule="auto"/>
              <w:rPr>
                <w:rFonts w:ascii="Arial" w:cs="Arial" w:eastAsia="Arial" w:hAnsi="Arial"/>
              </w:rPr>
            </w:pPr>
            <w:r w:rsidDel="00000000" w:rsidR="00000000" w:rsidRPr="00000000">
              <w:rPr>
                <w:rFonts w:ascii="Arial" w:cs="Arial" w:eastAsia="Arial" w:hAnsi="Arial"/>
                <w:rtl w:val="0"/>
              </w:rPr>
              <w:t xml:space="preserve">Check that portable electrical equipment (110V and above) fitted with a plug is within 12 months of use from new or has an ‘in date’ PAT Passed label attached. </w:t>
            </w:r>
          </w:p>
          <w:p w:rsidR="00000000" w:rsidDel="00000000" w:rsidP="00000000" w:rsidRDefault="00000000" w:rsidRPr="00000000" w14:paraId="000000B6">
            <w:pPr>
              <w:spacing w:after="120" w:before="120" w:line="276" w:lineRule="auto"/>
              <w:rPr>
                <w:rFonts w:ascii="Arial" w:cs="Arial" w:eastAsia="Arial" w:hAnsi="Arial"/>
              </w:rPr>
            </w:pPr>
            <w:r w:rsidDel="00000000" w:rsidR="00000000" w:rsidRPr="00000000">
              <w:rPr>
                <w:rFonts w:ascii="Arial" w:cs="Arial" w:eastAsia="Arial" w:hAnsi="Arial"/>
                <w:rtl w:val="0"/>
              </w:rPr>
              <w:t xml:space="preserve">Portable electrical equipment which is either untested or where the test is 'out of date' should not be used.</w:t>
            </w:r>
          </w:p>
          <w:p w:rsidR="00000000" w:rsidDel="00000000" w:rsidP="00000000" w:rsidRDefault="00000000" w:rsidRPr="00000000" w14:paraId="000000B7">
            <w:pPr>
              <w:spacing w:after="120" w:before="120" w:line="276" w:lineRule="auto"/>
              <w:rPr>
                <w:rFonts w:ascii="Arial" w:cs="Arial" w:eastAsia="Arial" w:hAnsi="Arial"/>
              </w:rPr>
            </w:pPr>
            <w:r w:rsidDel="00000000" w:rsidR="00000000" w:rsidRPr="00000000">
              <w:rPr>
                <w:rFonts w:ascii="Arial" w:cs="Arial" w:eastAsia="Arial" w:hAnsi="Arial"/>
                <w:rtl w:val="0"/>
              </w:rPr>
              <w:t xml:space="preserve">Never use electrical equipment with a damaged cable or cracked plug.</w:t>
            </w:r>
          </w:p>
        </w:tc>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Immediately isolate the power and stop using any electrical equipment which is overheating or if signs of damage become apparent during use.</w:t>
            </w:r>
          </w:p>
          <w:p w:rsidR="00000000" w:rsidDel="00000000" w:rsidP="00000000" w:rsidRDefault="00000000" w:rsidRPr="00000000" w14:paraId="000000B9">
            <w:pPr>
              <w:spacing w:after="120" w:before="120" w:line="276" w:lineRule="auto"/>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0BA">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BB">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92d050" w:val="clear"/>
            <w:vAlign w:val="center"/>
          </w:tcPr>
          <w:p w:rsidR="00000000" w:rsidDel="00000000" w:rsidP="00000000" w:rsidRDefault="00000000" w:rsidRPr="00000000" w14:paraId="000000BC">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BD">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of electrophoresis equipment – risk of electrocution from electrical current passing though buffer</w:t>
            </w:r>
          </w:p>
        </w:tc>
        <w:tc>
          <w:tcPr>
            <w:shd w:fill="auto" w:val="clear"/>
          </w:tcPr>
          <w:p w:rsidR="00000000" w:rsidDel="00000000" w:rsidP="00000000" w:rsidRDefault="00000000" w:rsidRPr="00000000" w14:paraId="000000BE">
            <w:pPr>
              <w:spacing w:after="120" w:before="120" w:line="276" w:lineRule="auto"/>
              <w:rPr>
                <w:rFonts w:ascii="Arial" w:cs="Arial" w:eastAsia="Arial" w:hAnsi="Arial"/>
              </w:rPr>
            </w:pPr>
            <w:r w:rsidDel="00000000" w:rsidR="00000000" w:rsidRPr="00000000">
              <w:rPr>
                <w:rFonts w:ascii="Arial" w:cs="Arial" w:eastAsia="Arial" w:hAnsi="Arial"/>
                <w:rtl w:val="0"/>
              </w:rPr>
              <w:t xml:space="preserve">To prevent access to the 1x TAE buffer with an electrical potential of 42V during electrophoresis, the orange top covers the buffer chamber. The electrical supply will not flow if t</w:t>
            </w:r>
            <w:r w:rsidDel="00000000" w:rsidR="00000000" w:rsidRPr="00000000">
              <w:rPr>
                <w:rFonts w:ascii="Arial" w:cs="Arial" w:eastAsia="Arial" w:hAnsi="Arial"/>
                <w:color w:val="000000"/>
                <w:rtl w:val="0"/>
              </w:rPr>
              <w:t xml:space="preserve">he photo hood is removed or if the tank is not properly placed inside the base unit, and electrodes are not making contact</w:t>
            </w:r>
            <w:r w:rsidDel="00000000" w:rsidR="00000000" w:rsidRPr="00000000">
              <w:rPr>
                <w:rFonts w:ascii="Arial" w:cs="Arial" w:eastAsia="Arial" w:hAnsi="Arial"/>
                <w:rtl w:val="0"/>
              </w:rPr>
              <w:t xml:space="preserve">.</w:t>
            </w:r>
          </w:p>
        </w:tc>
        <w:tc>
          <w:tcPr>
            <w:shd w:fill="auto" w:val="clear"/>
          </w:tcPr>
          <w:p w:rsidR="00000000" w:rsidDel="00000000" w:rsidP="00000000" w:rsidRDefault="00000000" w:rsidRPr="00000000" w14:paraId="000000BF">
            <w:pPr>
              <w:spacing w:after="120" w:before="120" w:line="276" w:lineRule="auto"/>
              <w:rPr>
                <w:rFonts w:ascii="Arial" w:cs="Arial" w:eastAsia="Arial" w:hAnsi="Arial"/>
              </w:rPr>
            </w:pPr>
            <w:r w:rsidDel="00000000" w:rsidR="00000000" w:rsidRPr="00000000">
              <w:rPr>
                <w:rFonts w:ascii="Arial" w:cs="Arial" w:eastAsia="Arial" w:hAnsi="Arial"/>
                <w:rtl w:val="0"/>
              </w:rPr>
              <w:t xml:space="preserve">Contact should not occur with the electrophoresis buffer whilst the electric current is on. If electrocution occurs, turn off the electrophoresis unit at source, use a dry, non-conducting object to move the electrophoresis unit away from the injured person and summon a First aider.</w:t>
            </w:r>
          </w:p>
        </w:tc>
        <w:tc>
          <w:tcPr>
            <w:shd w:fill="auto" w:val="clear"/>
            <w:vAlign w:val="center"/>
          </w:tcPr>
          <w:p w:rsidR="00000000" w:rsidDel="00000000" w:rsidP="00000000" w:rsidRDefault="00000000" w:rsidRPr="00000000" w14:paraId="000000C0">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Rare</w:t>
            </w:r>
          </w:p>
        </w:tc>
        <w:tc>
          <w:tcPr>
            <w:shd w:fill="auto" w:val="clear"/>
            <w:vAlign w:val="center"/>
          </w:tcPr>
          <w:p w:rsidR="00000000" w:rsidDel="00000000" w:rsidP="00000000" w:rsidRDefault="00000000" w:rsidRPr="00000000" w14:paraId="000000C1">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92d050" w:val="clear"/>
            <w:vAlign w:val="center"/>
          </w:tcPr>
          <w:p w:rsidR="00000000" w:rsidDel="00000000" w:rsidP="00000000" w:rsidRDefault="00000000" w:rsidRPr="00000000" w14:paraId="000000C2">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bl>
    <w:p w:rsidR="00000000" w:rsidDel="00000000" w:rsidP="00000000" w:rsidRDefault="00000000" w:rsidRPr="00000000" w14:paraId="000000C3">
      <w:pPr>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br w:type="page"/>
      </w:r>
      <w:r w:rsidDel="00000000" w:rsidR="00000000" w:rsidRPr="00000000">
        <w:rPr>
          <w:rtl w:val="0"/>
        </w:rPr>
      </w:r>
    </w:p>
    <w:tbl>
      <w:tblPr>
        <w:tblStyle w:val="Table6"/>
        <w:tblW w:w="14458.999999999998" w:type="dxa"/>
        <w:jc w:val="left"/>
        <w:tblInd w:w="-5.0" w:type="dxa"/>
        <w:tblBorders>
          <w:top w:color="bfbfbf" w:space="0" w:sz="4" w:val="single"/>
          <w:left w:color="bfbfbf" w:space="0" w:sz="4" w:val="single"/>
          <w:bottom w:color="bfbfbf" w:space="0" w:sz="4" w:val="single"/>
          <w:right w:color="bfbfbf" w:space="0" w:sz="4" w:val="single"/>
          <w:insideH w:color="bfbfbf" w:space="0" w:sz="4" w:val="single"/>
          <w:insideV w:color="bfbfbf" w:space="0" w:sz="4" w:val="single"/>
        </w:tblBorders>
        <w:tblLayout w:type="fixed"/>
        <w:tblLook w:val="0400"/>
      </w:tblPr>
      <w:tblGrid>
        <w:gridCol w:w="2410"/>
        <w:gridCol w:w="3897"/>
        <w:gridCol w:w="3898"/>
        <w:gridCol w:w="1418"/>
        <w:gridCol w:w="1418"/>
        <w:gridCol w:w="1418"/>
        <w:tblGridChange w:id="0">
          <w:tblGrid>
            <w:gridCol w:w="2410"/>
            <w:gridCol w:w="3897"/>
            <w:gridCol w:w="3898"/>
            <w:gridCol w:w="1418"/>
            <w:gridCol w:w="1418"/>
            <w:gridCol w:w="1418"/>
          </w:tblGrid>
        </w:tblGridChange>
      </w:tblGrid>
      <w:tr>
        <w:trPr>
          <w:cantSplit w:val="0"/>
          <w:trHeight w:val="295" w:hRule="atLeast"/>
          <w:tblHeader w:val="0"/>
        </w:trPr>
        <w:tc>
          <w:tcPr>
            <w:shd w:fill="f2f2f2" w:val="clear"/>
          </w:tcPr>
          <w:p w:rsidR="00000000" w:rsidDel="00000000" w:rsidP="00000000" w:rsidRDefault="00000000" w:rsidRPr="00000000" w14:paraId="000000C4">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Risk(s)</w:t>
            </w:r>
            <w:r w:rsidDel="00000000" w:rsidR="00000000" w:rsidRPr="00000000">
              <w:rPr>
                <w:rtl w:val="0"/>
              </w:rPr>
            </w:r>
          </w:p>
        </w:tc>
        <w:tc>
          <w:tcPr>
            <w:shd w:fill="f2f2f2" w:val="clear"/>
          </w:tcPr>
          <w:p w:rsidR="00000000" w:rsidDel="00000000" w:rsidP="00000000" w:rsidRDefault="00000000" w:rsidRPr="00000000" w14:paraId="000000C5">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Safety precautions</w:t>
            </w:r>
            <w:r w:rsidDel="00000000" w:rsidR="00000000" w:rsidRPr="00000000">
              <w:rPr>
                <w:rtl w:val="0"/>
              </w:rPr>
            </w:r>
          </w:p>
        </w:tc>
        <w:tc>
          <w:tcPr>
            <w:shd w:fill="f2f2f2" w:val="clear"/>
          </w:tcPr>
          <w:p w:rsidR="00000000" w:rsidDel="00000000" w:rsidP="00000000" w:rsidRDefault="00000000" w:rsidRPr="00000000" w14:paraId="000000C6">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Emergency procedures</w:t>
            </w:r>
            <w:r w:rsidDel="00000000" w:rsidR="00000000" w:rsidRPr="00000000">
              <w:rPr>
                <w:rtl w:val="0"/>
              </w:rPr>
            </w:r>
          </w:p>
        </w:tc>
        <w:tc>
          <w:tcPr>
            <w:shd w:fill="f2f2f2" w:val="clear"/>
          </w:tcPr>
          <w:p w:rsidR="00000000" w:rsidDel="00000000" w:rsidP="00000000" w:rsidRDefault="00000000" w:rsidRPr="00000000" w14:paraId="000000C7">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Likelihood</w:t>
            </w:r>
            <w:r w:rsidDel="00000000" w:rsidR="00000000" w:rsidRPr="00000000">
              <w:rPr>
                <w:rtl w:val="0"/>
              </w:rPr>
            </w:r>
          </w:p>
        </w:tc>
        <w:tc>
          <w:tcPr>
            <w:shd w:fill="f2f2f2" w:val="clear"/>
          </w:tcPr>
          <w:p w:rsidR="00000000" w:rsidDel="00000000" w:rsidP="00000000" w:rsidRDefault="00000000" w:rsidRPr="00000000" w14:paraId="000000C8">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Severity</w:t>
            </w:r>
            <w:r w:rsidDel="00000000" w:rsidR="00000000" w:rsidRPr="00000000">
              <w:rPr>
                <w:rtl w:val="0"/>
              </w:rPr>
            </w:r>
          </w:p>
        </w:tc>
        <w:tc>
          <w:tcPr>
            <w:shd w:fill="f2f2f2" w:val="clear"/>
          </w:tcPr>
          <w:p w:rsidR="00000000" w:rsidDel="00000000" w:rsidP="00000000" w:rsidRDefault="00000000" w:rsidRPr="00000000" w14:paraId="000000C9">
            <w:pPr>
              <w:spacing w:after="192.00000000000003" w:before="192.00000000000003" w:line="276" w:lineRule="auto"/>
              <w:rPr>
                <w:rFonts w:ascii="Arial" w:cs="Arial" w:eastAsia="Arial" w:hAnsi="Arial"/>
              </w:rPr>
            </w:pPr>
            <w:r w:rsidDel="00000000" w:rsidR="00000000" w:rsidRPr="00000000">
              <w:rPr>
                <w:rFonts w:ascii="Arial" w:cs="Arial" w:eastAsia="Arial" w:hAnsi="Arial"/>
                <w:b w:val="1"/>
                <w:rtl w:val="0"/>
              </w:rPr>
              <w:t xml:space="preserve">Overall risk</w:t>
            </w:r>
            <w:r w:rsidDel="00000000" w:rsidR="00000000" w:rsidRPr="00000000">
              <w:rPr>
                <w:rtl w:val="0"/>
              </w:rPr>
            </w:r>
          </w:p>
        </w:tc>
      </w:tr>
      <w:tr>
        <w:trPr>
          <w:cantSplit w:val="0"/>
          <w:trHeight w:val="295" w:hRule="atLeast"/>
          <w:tblHeader w:val="0"/>
        </w:trPr>
        <w:tc>
          <w:tcPr>
            <w:shd w:fill="auto" w:val="clear"/>
          </w:tcPr>
          <w:p w:rsidR="00000000" w:rsidDel="00000000" w:rsidP="00000000" w:rsidRDefault="00000000" w:rsidRPr="00000000" w14:paraId="000000CA">
            <w:pPr>
              <w:spacing w:after="120" w:before="120" w:line="276" w:lineRule="auto"/>
              <w:rPr>
                <w:rFonts w:ascii="Arial" w:cs="Arial" w:eastAsia="Arial" w:hAnsi="Arial"/>
              </w:rPr>
            </w:pPr>
            <w:r w:rsidDel="00000000" w:rsidR="00000000" w:rsidRPr="00000000">
              <w:rPr>
                <w:rFonts w:ascii="Arial" w:cs="Arial" w:eastAsia="Arial" w:hAnsi="Arial"/>
                <w:rtl w:val="0"/>
              </w:rPr>
              <w:t xml:space="preserve">Burns from molten agarose when preparing agarose gels</w:t>
            </w:r>
            <w:r w:rsidDel="00000000" w:rsidR="00000000" w:rsidRPr="00000000">
              <w:rPr>
                <w:rFonts w:ascii="Arial" w:cs="Arial" w:eastAsia="Arial" w:hAnsi="Arial"/>
                <w:b w:val="1"/>
                <w:rtl w:val="0"/>
              </w:rPr>
              <w:t xml:space="preserve">*</w:t>
            </w:r>
            <w:r w:rsidDel="00000000" w:rsidR="00000000" w:rsidRPr="00000000">
              <w:rPr>
                <w:rtl w:val="0"/>
              </w:rPr>
            </w:r>
          </w:p>
        </w:tc>
        <w:tc>
          <w:tcPr>
            <w:shd w:fill="auto" w:val="clear"/>
          </w:tcPr>
          <w:p w:rsidR="00000000" w:rsidDel="00000000" w:rsidP="00000000" w:rsidRDefault="00000000" w:rsidRPr="00000000" w14:paraId="000000CB">
            <w:pPr>
              <w:spacing w:after="120" w:before="120" w:line="276" w:lineRule="auto"/>
              <w:rPr>
                <w:rFonts w:ascii="Arial" w:cs="Arial" w:eastAsia="Arial" w:hAnsi="Arial"/>
              </w:rPr>
            </w:pPr>
            <w:r w:rsidDel="00000000" w:rsidR="00000000" w:rsidRPr="00000000">
              <w:rPr>
                <w:rFonts w:ascii="Arial" w:cs="Arial" w:eastAsia="Arial" w:hAnsi="Arial"/>
                <w:rtl w:val="0"/>
              </w:rPr>
              <w:t xml:space="preserve">Use a heat resistant glove, ensuring the cuff of the glove is over the lab coat sleeve, to handle heated products from the microwave so that there is no exposed skin on the arm. </w:t>
            </w:r>
          </w:p>
          <w:p w:rsidR="00000000" w:rsidDel="00000000" w:rsidP="00000000" w:rsidRDefault="00000000" w:rsidRPr="00000000" w14:paraId="000000CC">
            <w:pPr>
              <w:spacing w:after="120" w:before="120" w:line="276" w:lineRule="auto"/>
              <w:rPr>
                <w:rFonts w:ascii="Arial" w:cs="Arial" w:eastAsia="Arial" w:hAnsi="Arial"/>
              </w:rPr>
            </w:pPr>
            <w:r w:rsidDel="00000000" w:rsidR="00000000" w:rsidRPr="00000000">
              <w:rPr>
                <w:rFonts w:ascii="Arial" w:cs="Arial" w:eastAsia="Arial" w:hAnsi="Arial"/>
                <w:rtl w:val="0"/>
              </w:rPr>
              <w:t xml:space="preserve">Do not jolt or swirl agarose vigorously whilst melting in electrophoresis buffer to pour a gel.</w:t>
            </w:r>
          </w:p>
        </w:tc>
        <w:tc>
          <w:tcPr>
            <w:shd w:fill="auto" w:val="clear"/>
          </w:tcPr>
          <w:p w:rsidR="00000000" w:rsidDel="00000000" w:rsidP="00000000" w:rsidRDefault="00000000" w:rsidRPr="00000000" w14:paraId="000000CD">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a burn occurs, run the affected area under cool or tepid water for 20 minutes. For bad burns notify the local First aider.</w:t>
            </w:r>
          </w:p>
        </w:tc>
        <w:tc>
          <w:tcPr>
            <w:shd w:fill="auto" w:val="clear"/>
            <w:vAlign w:val="center"/>
          </w:tcPr>
          <w:p w:rsidR="00000000" w:rsidDel="00000000" w:rsidP="00000000" w:rsidRDefault="00000000" w:rsidRPr="00000000" w14:paraId="000000CE">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Possible</w:t>
            </w:r>
          </w:p>
        </w:tc>
        <w:tc>
          <w:tcPr>
            <w:shd w:fill="auto" w:val="clear"/>
            <w:vAlign w:val="center"/>
          </w:tcPr>
          <w:p w:rsidR="00000000" w:rsidDel="00000000" w:rsidP="00000000" w:rsidRDefault="00000000" w:rsidRPr="00000000" w14:paraId="000000CF">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ffc000" w:val="clear"/>
            <w:vAlign w:val="center"/>
          </w:tcPr>
          <w:p w:rsidR="00000000" w:rsidDel="00000000" w:rsidP="00000000" w:rsidRDefault="00000000" w:rsidRPr="00000000" w14:paraId="000000D0">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Medium</w:t>
            </w:r>
          </w:p>
        </w:tc>
      </w:tr>
      <w:tr>
        <w:trPr>
          <w:cantSplit w:val="0"/>
          <w:trHeight w:val="295" w:hRule="atLeast"/>
          <w:tblHeader w:val="0"/>
        </w:trPr>
        <w:tc>
          <w:tcPr>
            <w:shd w:fill="auto" w:val="clear"/>
          </w:tcPr>
          <w:p w:rsidR="00000000" w:rsidDel="00000000" w:rsidP="00000000" w:rsidRDefault="00000000" w:rsidRPr="00000000" w14:paraId="000000D1">
            <w:pPr>
              <w:spacing w:after="120" w:before="120" w:line="276" w:lineRule="auto"/>
              <w:rPr>
                <w:rFonts w:ascii="Arial" w:cs="Arial" w:eastAsia="Arial" w:hAnsi="Arial"/>
              </w:rPr>
            </w:pPr>
            <w:r w:rsidDel="00000000" w:rsidR="00000000" w:rsidRPr="00000000">
              <w:rPr>
                <w:rFonts w:ascii="Arial" w:cs="Arial" w:eastAsia="Arial" w:hAnsi="Arial"/>
                <w:rtl w:val="0"/>
              </w:rPr>
              <w:t xml:space="preserve">Young people don’t follow laboratory protocols correctly due to inexperience</w:t>
            </w:r>
          </w:p>
        </w:tc>
        <w:tc>
          <w:tcPr>
            <w:shd w:fill="auto" w:val="clear"/>
          </w:tcPr>
          <w:p w:rsidR="00000000" w:rsidDel="00000000" w:rsidP="00000000" w:rsidRDefault="00000000" w:rsidRPr="00000000" w14:paraId="000000D2">
            <w:pPr>
              <w:spacing w:after="120" w:before="120" w:line="276" w:lineRule="auto"/>
              <w:rPr>
                <w:rFonts w:ascii="Arial" w:cs="Arial" w:eastAsia="Arial" w:hAnsi="Arial"/>
              </w:rPr>
            </w:pPr>
            <w:r w:rsidDel="00000000" w:rsidR="00000000" w:rsidRPr="00000000">
              <w:rPr>
                <w:rFonts w:ascii="Arial" w:cs="Arial" w:eastAsia="Arial" w:hAnsi="Arial"/>
                <w:rtl w:val="0"/>
              </w:rPr>
              <w:t xml:space="preserve">Clearly explain instructions, answer questions and monitor students as they complete the practical work.</w:t>
            </w:r>
          </w:p>
        </w:tc>
        <w:tc>
          <w:tcPr>
            <w:shd w:fill="auto" w:val="clear"/>
          </w:tcPr>
          <w:p w:rsidR="00000000" w:rsidDel="00000000" w:rsidP="00000000" w:rsidRDefault="00000000" w:rsidRPr="00000000" w14:paraId="000000D3">
            <w:pPr>
              <w:spacing w:after="120" w:before="120" w:line="276" w:lineRule="auto"/>
              <w:rPr>
                <w:rFonts w:ascii="Arial" w:cs="Arial" w:eastAsia="Arial" w:hAnsi="Arial"/>
              </w:rPr>
            </w:pPr>
            <w:r w:rsidDel="00000000" w:rsidR="00000000" w:rsidRPr="00000000">
              <w:rPr>
                <w:rFonts w:ascii="Arial" w:cs="Arial" w:eastAsia="Arial" w:hAnsi="Arial"/>
                <w:rtl w:val="0"/>
              </w:rPr>
              <w:t xml:space="preserve">If a student is not following the laboratory procedures or behaving in a way that endangers themselves or others they should be prevented from carrying out the practical work.</w:t>
            </w:r>
          </w:p>
        </w:tc>
        <w:tc>
          <w:tcPr>
            <w:shd w:fill="auto" w:val="clear"/>
            <w:vAlign w:val="center"/>
          </w:tcPr>
          <w:p w:rsidR="00000000" w:rsidDel="00000000" w:rsidP="00000000" w:rsidRDefault="00000000" w:rsidRPr="00000000" w14:paraId="000000D4">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Unlikely</w:t>
            </w:r>
          </w:p>
        </w:tc>
        <w:tc>
          <w:tcPr>
            <w:shd w:fill="auto" w:val="clear"/>
            <w:vAlign w:val="center"/>
          </w:tcPr>
          <w:p w:rsidR="00000000" w:rsidDel="00000000" w:rsidP="00000000" w:rsidRDefault="00000000" w:rsidRPr="00000000" w14:paraId="000000D5">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Moderate</w:t>
            </w:r>
          </w:p>
        </w:tc>
        <w:tc>
          <w:tcPr>
            <w:shd w:fill="92d050" w:val="clear"/>
            <w:vAlign w:val="center"/>
          </w:tcPr>
          <w:p w:rsidR="00000000" w:rsidDel="00000000" w:rsidP="00000000" w:rsidRDefault="00000000" w:rsidRPr="00000000" w14:paraId="000000D6">
            <w:pPr>
              <w:spacing w:after="120" w:before="120" w:line="276" w:lineRule="auto"/>
              <w:jc w:val="center"/>
              <w:rPr>
                <w:rFonts w:ascii="Arial" w:cs="Arial" w:eastAsia="Arial" w:hAnsi="Arial"/>
              </w:rPr>
            </w:pPr>
            <w:r w:rsidDel="00000000" w:rsidR="00000000" w:rsidRPr="00000000">
              <w:rPr>
                <w:rFonts w:ascii="Arial" w:cs="Arial" w:eastAsia="Arial" w:hAnsi="Arial"/>
                <w:rtl w:val="0"/>
              </w:rPr>
              <w:t xml:space="preserve">Low</w:t>
            </w:r>
          </w:p>
        </w:tc>
      </w:tr>
      <w:tr>
        <w:trPr>
          <w:cantSplit w:val="0"/>
          <w:trHeight w:val="295" w:hRule="atLeast"/>
          <w:tblHeader w:val="0"/>
        </w:trPr>
        <w:tc>
          <w:tcPr>
            <w:shd w:fill="auto" w:val="clear"/>
          </w:tcPr>
          <w:p w:rsidR="00000000" w:rsidDel="00000000" w:rsidP="00000000" w:rsidRDefault="00000000" w:rsidRPr="00000000" w14:paraId="000000D7">
            <w:pPr>
              <w:spacing w:after="120" w:before="120" w:line="276" w:lineRule="auto"/>
              <w:rPr>
                <w:rFonts w:ascii="Arial" w:cs="Arial" w:eastAsia="Arial" w:hAnsi="Arial"/>
              </w:rPr>
            </w:pPr>
            <w:r w:rsidDel="00000000" w:rsidR="00000000" w:rsidRPr="00000000">
              <w:rPr>
                <w:rFonts w:ascii="Arial" w:cs="Arial" w:eastAsia="Arial" w:hAnsi="Arial"/>
                <w:rtl w:val="0"/>
              </w:rPr>
              <w:t xml:space="preserve">Impaired health or physical disability makes practical work more risky</w:t>
            </w:r>
          </w:p>
        </w:tc>
        <w:tc>
          <w:tcPr>
            <w:shd w:fill="auto" w:val="clear"/>
          </w:tcPr>
          <w:p w:rsidR="00000000" w:rsidDel="00000000" w:rsidP="00000000" w:rsidRDefault="00000000" w:rsidRPr="00000000" w14:paraId="000000D8">
            <w:pPr>
              <w:spacing w:after="120" w:before="120" w:line="276" w:lineRule="auto"/>
              <w:rPr>
                <w:rFonts w:ascii="Arial" w:cs="Arial" w:eastAsia="Arial" w:hAnsi="Arial"/>
              </w:rPr>
            </w:pPr>
            <w:r w:rsidDel="00000000" w:rsidR="00000000" w:rsidRPr="00000000">
              <w:rPr>
                <w:rFonts w:ascii="Arial" w:cs="Arial" w:eastAsia="Arial" w:hAnsi="Arial"/>
                <w:rtl w:val="0"/>
              </w:rPr>
              <w:t xml:space="preserve">Adaptations may be required to facilitate practical work and should be assessed on a case by case basis with advice from support staff, SEN or other appropriate person.</w:t>
            </w:r>
          </w:p>
        </w:tc>
        <w:tc>
          <w:tcPr>
            <w:shd w:fill="auto" w:val="clea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Realistic scenarios can be planned for and assessed on a case by case basis.</w:t>
            </w:r>
          </w:p>
          <w:p w:rsidR="00000000" w:rsidDel="00000000" w:rsidP="00000000" w:rsidRDefault="00000000" w:rsidRPr="00000000" w14:paraId="000000DA">
            <w:pPr>
              <w:spacing w:after="120" w:before="120" w:line="276" w:lineRule="auto"/>
              <w:rPr>
                <w:rFonts w:ascii="Arial" w:cs="Arial" w:eastAsia="Arial" w:hAnsi="Arial"/>
              </w:rPr>
            </w:pPr>
            <w:r w:rsidDel="00000000" w:rsidR="00000000" w:rsidRPr="00000000">
              <w:rPr>
                <w:rtl w:val="0"/>
              </w:rPr>
            </w:r>
          </w:p>
        </w:tc>
        <w:tc>
          <w:tcPr>
            <w:shd w:fill="f2f2f2" w:val="clear"/>
            <w:vAlign w:val="center"/>
          </w:tcPr>
          <w:p w:rsidR="00000000" w:rsidDel="00000000" w:rsidP="00000000" w:rsidRDefault="00000000" w:rsidRPr="00000000" w14:paraId="000000DB">
            <w:pPr>
              <w:spacing w:after="120" w:before="120" w:line="276" w:lineRule="auto"/>
              <w:jc w:val="center"/>
              <w:rPr>
                <w:rFonts w:ascii="Arial" w:cs="Arial" w:eastAsia="Arial" w:hAnsi="Arial"/>
              </w:rPr>
            </w:pPr>
            <w:r w:rsidDel="00000000" w:rsidR="00000000" w:rsidRPr="00000000">
              <w:rPr>
                <w:rtl w:val="0"/>
              </w:rPr>
            </w:r>
          </w:p>
        </w:tc>
        <w:tc>
          <w:tcPr>
            <w:shd w:fill="f2f2f2" w:val="clear"/>
            <w:vAlign w:val="center"/>
          </w:tcPr>
          <w:p w:rsidR="00000000" w:rsidDel="00000000" w:rsidP="00000000" w:rsidRDefault="00000000" w:rsidRPr="00000000" w14:paraId="000000DC">
            <w:pPr>
              <w:spacing w:after="120" w:before="120" w:line="276" w:lineRule="auto"/>
              <w:jc w:val="center"/>
              <w:rPr>
                <w:rFonts w:ascii="Arial" w:cs="Arial" w:eastAsia="Arial" w:hAnsi="Arial"/>
              </w:rPr>
            </w:pPr>
            <w:r w:rsidDel="00000000" w:rsidR="00000000" w:rsidRPr="00000000">
              <w:rPr>
                <w:rtl w:val="0"/>
              </w:rPr>
            </w:r>
          </w:p>
        </w:tc>
        <w:tc>
          <w:tcPr>
            <w:shd w:fill="f2f2f2" w:val="clear"/>
            <w:vAlign w:val="center"/>
          </w:tcPr>
          <w:p w:rsidR="00000000" w:rsidDel="00000000" w:rsidP="00000000" w:rsidRDefault="00000000" w:rsidRPr="00000000" w14:paraId="000000DD">
            <w:pPr>
              <w:spacing w:after="120" w:before="120" w:line="276"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DE">
      <w:pPr>
        <w:rPr>
          <w:rFonts w:ascii="Arial" w:cs="Arial" w:eastAsia="Arial" w:hAnsi="Arial"/>
        </w:rPr>
      </w:pPr>
      <w:r w:rsidDel="00000000" w:rsidR="00000000" w:rsidRPr="00000000">
        <w:rPr>
          <w:rtl w:val="0"/>
        </w:rPr>
      </w:r>
    </w:p>
    <w:p w:rsidR="00000000" w:rsidDel="00000000" w:rsidP="00000000" w:rsidRDefault="00000000" w:rsidRPr="00000000" w14:paraId="000000DF">
      <w:pPr>
        <w:rPr>
          <w:rFonts w:ascii="Arial" w:cs="Arial" w:eastAsia="Arial" w:hAnsi="Arial"/>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Note: This is the biggest risk, but with careful handling and correct use of heat resistant gloves the risk is low.</w:t>
      </w:r>
    </w:p>
    <w:p w:rsidR="00000000" w:rsidDel="00000000" w:rsidP="00000000" w:rsidRDefault="00000000" w:rsidRPr="00000000" w14:paraId="000000E0">
      <w:pPr>
        <w:rPr>
          <w:rFonts w:ascii="Arial" w:cs="Arial" w:eastAsia="Arial" w:hAnsi="Arial"/>
          <w:b w:val="0"/>
          <w:color w:val="1f4e79"/>
        </w:rPr>
      </w:pPr>
      <w:r w:rsidDel="00000000" w:rsidR="00000000" w:rsidRPr="00000000">
        <w:rPr>
          <w:rtl w:val="0"/>
        </w:rPr>
      </w:r>
    </w:p>
    <w:sectPr>
      <w:headerReference r:id="rId18" w:type="default"/>
      <w:footerReference r:id="rId19" w:type="default"/>
      <w:pgSz w:h="11906" w:w="16838" w:orient="landscape"/>
      <w:pgMar w:bottom="1418" w:top="1985" w:left="1134" w:right="1134" w:header="73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Arial" w:cs="Arial" w:eastAsia="Arial" w:hAnsi="Arial"/>
        <w:b w:val="0"/>
        <w:i w:val="0"/>
        <w:smallCaps w:val="0"/>
        <w:strike w:val="0"/>
        <w:color w:val="999999"/>
        <w:sz w:val="18"/>
        <w:szCs w:val="18"/>
        <w:u w:val="none"/>
        <w:shd w:fill="auto" w:val="clear"/>
        <w:vertAlign w:val="baseline"/>
      </w:rPr>
    </w:pPr>
    <w:r w:rsidDel="00000000" w:rsidR="00000000" w:rsidRPr="00000000">
      <w:rPr>
        <w:rFonts w:ascii="Arial" w:cs="Arial" w:eastAsia="Arial" w:hAnsi="Arial"/>
        <w:b w:val="1"/>
        <w:i w:val="0"/>
        <w:smallCaps w:val="0"/>
        <w:strike w:val="0"/>
        <w:color w:val="999999"/>
        <w:sz w:val="18"/>
        <w:szCs w:val="18"/>
        <w:u w:val="none"/>
        <w:shd w:fill="auto" w:val="clear"/>
        <w:vertAlign w:val="baseline"/>
        <w:rtl w:val="0"/>
      </w:rPr>
      <w:t xml:space="preserve">yourgenome.org</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1">
    <w:pPr>
      <w:pStyle w:val="Heading1"/>
      <w:jc w:val="right"/>
      <w:rPr>
        <w:rFonts w:ascii="Arial" w:cs="Arial" w:eastAsia="Arial" w:hAnsi="Arial"/>
        <w:b w:val="1"/>
        <w:color w:val="9c27b0"/>
        <w:sz w:val="22"/>
        <w:szCs w:val="22"/>
      </w:rPr>
    </w:pPr>
    <w:r w:rsidDel="00000000" w:rsidR="00000000" w:rsidRPr="00000000">
      <w:rPr>
        <w:rFonts w:ascii="Arial" w:cs="Arial" w:eastAsia="Arial" w:hAnsi="Arial"/>
        <w:b w:val="1"/>
        <w:color w:val="9c27b0"/>
        <w:sz w:val="22"/>
        <w:szCs w:val="22"/>
        <w:rtl w:val="0"/>
      </w:rPr>
      <w:t xml:space="preserve">Barcoding for beginners</w:t>
      <w:br w:type="textWrapping"/>
    </w:r>
    <w:r w:rsidDel="00000000" w:rsidR="00000000" w:rsidRPr="00000000">
      <w:rPr>
        <w:rFonts w:ascii="Arial" w:cs="Arial" w:eastAsia="Arial" w:hAnsi="Arial"/>
        <w:b w:val="1"/>
        <w:color w:val="999999"/>
        <w:sz w:val="22"/>
        <w:szCs w:val="22"/>
        <w:rtl w:val="0"/>
      </w:rPr>
      <w:t xml:space="preserve">Model risk assessment</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3812</wp:posOffset>
          </wp:positionH>
          <wp:positionV relativeFrom="paragraph">
            <wp:posOffset>-198036</wp:posOffset>
          </wp:positionV>
          <wp:extent cx="1682750" cy="841375"/>
          <wp:effectExtent b="0" l="0" r="0" t="0"/>
          <wp:wrapSquare wrapText="right" distB="0" distT="0" distL="114300" distR="114300"/>
          <wp:docPr id="203947467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682750" cy="841375"/>
                  </a:xfrm>
                  <a:prstGeom prst="rect"/>
                  <a:ln/>
                </pic:spPr>
              </pic:pic>
            </a:graphicData>
          </a:graphic>
        </wp:anchor>
      </w:drawing>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Arial" w:cs="Arial" w:eastAsia="Arial" w:hAnsi="Arial"/>
        <w:b w:val="0"/>
        <w:i w:val="0"/>
        <w:smallCaps w:val="0"/>
        <w:strike w:val="0"/>
        <w:color w:val="9c27b0"/>
        <w:sz w:val="22"/>
        <w:szCs w:val="22"/>
        <w:u w:val="none"/>
        <w:shd w:fill="auto" w:val="clear"/>
        <w:vertAlign w:val="baseline"/>
      </w:rPr>
    </w:pPr>
    <w:r w:rsidDel="00000000" w:rsidR="00000000" w:rsidRPr="00000000">
      <w:rPr>
        <w:rFonts w:ascii="Arial" w:cs="Arial" w:eastAsia="Arial" w:hAnsi="Arial"/>
        <w:b w:val="0"/>
        <w:i w:val="0"/>
        <w:smallCaps w:val="0"/>
        <w:strike w:val="0"/>
        <w:color w:val="9c27b0"/>
        <w:sz w:val="22"/>
        <w:szCs w:val="22"/>
        <w:u w:val="none"/>
        <w:shd w:fill="auto" w:val="clear"/>
        <w:vertAlign w:val="baseline"/>
        <w:rtl w:val="0"/>
      </w:rPr>
      <w:tab/>
      <w:tab/>
      <w:tab/>
      <w:tab/>
      <w:tab/>
      <w:tab/>
      <w:tab/>
      <w:tab/>
      <w:tab/>
      <w:tab/>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63" w:hanging="360"/>
      </w:pPr>
      <w:rPr>
        <w:rFonts w:ascii="Noto Sans Symbols" w:cs="Noto Sans Symbols" w:eastAsia="Noto Sans Symbols" w:hAnsi="Noto Sans Symbols"/>
      </w:rPr>
    </w:lvl>
    <w:lvl w:ilvl="1">
      <w:start w:val="1"/>
      <w:numFmt w:val="bullet"/>
      <w:lvlText w:val="o"/>
      <w:lvlJc w:val="left"/>
      <w:pPr>
        <w:ind w:left="1483" w:hanging="360"/>
      </w:pPr>
      <w:rPr>
        <w:rFonts w:ascii="Courier New" w:cs="Courier New" w:eastAsia="Courier New" w:hAnsi="Courier New"/>
      </w:rPr>
    </w:lvl>
    <w:lvl w:ilvl="2">
      <w:start w:val="1"/>
      <w:numFmt w:val="bullet"/>
      <w:lvlText w:val="▪"/>
      <w:lvlJc w:val="left"/>
      <w:pPr>
        <w:ind w:left="2203" w:hanging="360"/>
      </w:pPr>
      <w:rPr>
        <w:rFonts w:ascii="Noto Sans Symbols" w:cs="Noto Sans Symbols" w:eastAsia="Noto Sans Symbols" w:hAnsi="Noto Sans Symbols"/>
      </w:rPr>
    </w:lvl>
    <w:lvl w:ilvl="3">
      <w:start w:val="1"/>
      <w:numFmt w:val="bullet"/>
      <w:lvlText w:val="●"/>
      <w:lvlJc w:val="left"/>
      <w:pPr>
        <w:ind w:left="2923" w:hanging="360"/>
      </w:pPr>
      <w:rPr>
        <w:rFonts w:ascii="Noto Sans Symbols" w:cs="Noto Sans Symbols" w:eastAsia="Noto Sans Symbols" w:hAnsi="Noto Sans Symbols"/>
      </w:rPr>
    </w:lvl>
    <w:lvl w:ilvl="4">
      <w:start w:val="1"/>
      <w:numFmt w:val="bullet"/>
      <w:lvlText w:val="o"/>
      <w:lvlJc w:val="left"/>
      <w:pPr>
        <w:ind w:left="3643" w:hanging="360"/>
      </w:pPr>
      <w:rPr>
        <w:rFonts w:ascii="Courier New" w:cs="Courier New" w:eastAsia="Courier New" w:hAnsi="Courier New"/>
      </w:rPr>
    </w:lvl>
    <w:lvl w:ilvl="5">
      <w:start w:val="1"/>
      <w:numFmt w:val="bullet"/>
      <w:lvlText w:val="▪"/>
      <w:lvlJc w:val="left"/>
      <w:pPr>
        <w:ind w:left="4363" w:hanging="360"/>
      </w:pPr>
      <w:rPr>
        <w:rFonts w:ascii="Noto Sans Symbols" w:cs="Noto Sans Symbols" w:eastAsia="Noto Sans Symbols" w:hAnsi="Noto Sans Symbols"/>
      </w:rPr>
    </w:lvl>
    <w:lvl w:ilvl="6">
      <w:start w:val="1"/>
      <w:numFmt w:val="bullet"/>
      <w:lvlText w:val="●"/>
      <w:lvlJc w:val="left"/>
      <w:pPr>
        <w:ind w:left="5083" w:hanging="360"/>
      </w:pPr>
      <w:rPr>
        <w:rFonts w:ascii="Noto Sans Symbols" w:cs="Noto Sans Symbols" w:eastAsia="Noto Sans Symbols" w:hAnsi="Noto Sans Symbols"/>
      </w:rPr>
    </w:lvl>
    <w:lvl w:ilvl="7">
      <w:start w:val="1"/>
      <w:numFmt w:val="bullet"/>
      <w:lvlText w:val="o"/>
      <w:lvlJc w:val="left"/>
      <w:pPr>
        <w:ind w:left="5803" w:hanging="360"/>
      </w:pPr>
      <w:rPr>
        <w:rFonts w:ascii="Courier New" w:cs="Courier New" w:eastAsia="Courier New" w:hAnsi="Courier New"/>
      </w:rPr>
    </w:lvl>
    <w:lvl w:ilvl="8">
      <w:start w:val="1"/>
      <w:numFmt w:val="bullet"/>
      <w:lvlText w:val="▪"/>
      <w:lvlJc w:val="left"/>
      <w:pPr>
        <w:ind w:left="6523"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259"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75BCA"/>
    <w:pPr>
      <w:spacing w:after="0" w:line="240" w:lineRule="auto"/>
    </w:pPr>
    <w:rPr>
      <w:rFonts w:ascii="Calibri" w:cs="Times New Roman" w:hAnsi="Calibri"/>
      <w:lang w:eastAsia="en-GB"/>
    </w:rPr>
  </w:style>
  <w:style w:type="paragraph" w:styleId="Heading1">
    <w:name w:val="heading 1"/>
    <w:basedOn w:val="Normal"/>
    <w:next w:val="Normal"/>
    <w:link w:val="Heading1Char"/>
    <w:uiPriority w:val="9"/>
    <w:qFormat w:val="1"/>
    <w:rsid w:val="00226EAD"/>
    <w:pPr>
      <w:keepNext w:val="1"/>
      <w:keepLines w:val="1"/>
      <w:spacing w:before="240" w:line="259" w:lineRule="auto"/>
      <w:outlineLvl w:val="0"/>
    </w:pPr>
    <w:rPr>
      <w:rFonts w:asciiTheme="majorHAnsi" w:cstheme="majorBidi" w:eastAsiaTheme="majorEastAsia" w:hAnsiTheme="majorHAnsi"/>
      <w:color w:val="2e74b5"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Strong">
    <w:name w:val="Strong"/>
    <w:basedOn w:val="DefaultParagraphFont"/>
    <w:uiPriority w:val="22"/>
    <w:qFormat w:val="1"/>
    <w:rsid w:val="00C75BCA"/>
    <w:rPr>
      <w:b w:val="1"/>
      <w:bCs w:val="1"/>
    </w:rPr>
  </w:style>
  <w:style w:type="paragraph" w:styleId="BalloonText">
    <w:name w:val="Balloon Text"/>
    <w:basedOn w:val="Normal"/>
    <w:link w:val="BalloonTextChar"/>
    <w:uiPriority w:val="99"/>
    <w:semiHidden w:val="1"/>
    <w:unhideWhenUsed w:val="1"/>
    <w:rsid w:val="000A4E2C"/>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A4E2C"/>
    <w:rPr>
      <w:rFonts w:ascii="Segoe UI" w:cs="Segoe UI" w:hAnsi="Segoe UI"/>
      <w:sz w:val="18"/>
      <w:szCs w:val="18"/>
      <w:lang w:eastAsia="en-GB"/>
    </w:rPr>
  </w:style>
  <w:style w:type="paragraph" w:styleId="Header">
    <w:name w:val="header"/>
    <w:basedOn w:val="Normal"/>
    <w:link w:val="HeaderChar"/>
    <w:uiPriority w:val="99"/>
    <w:unhideWhenUsed w:val="1"/>
    <w:rsid w:val="0047733C"/>
    <w:pPr>
      <w:tabs>
        <w:tab w:val="center" w:pos="4513"/>
        <w:tab w:val="right" w:pos="9026"/>
      </w:tabs>
    </w:pPr>
  </w:style>
  <w:style w:type="character" w:styleId="HeaderChar" w:customStyle="1">
    <w:name w:val="Header Char"/>
    <w:basedOn w:val="DefaultParagraphFont"/>
    <w:link w:val="Header"/>
    <w:uiPriority w:val="99"/>
    <w:rsid w:val="0047733C"/>
    <w:rPr>
      <w:rFonts w:ascii="Calibri" w:cs="Times New Roman" w:hAnsi="Calibri"/>
      <w:lang w:eastAsia="en-GB"/>
    </w:rPr>
  </w:style>
  <w:style w:type="paragraph" w:styleId="Footer">
    <w:name w:val="footer"/>
    <w:basedOn w:val="Normal"/>
    <w:link w:val="FooterChar"/>
    <w:uiPriority w:val="99"/>
    <w:unhideWhenUsed w:val="1"/>
    <w:rsid w:val="0047733C"/>
    <w:pPr>
      <w:tabs>
        <w:tab w:val="center" w:pos="4513"/>
        <w:tab w:val="right" w:pos="9026"/>
      </w:tabs>
    </w:pPr>
  </w:style>
  <w:style w:type="character" w:styleId="FooterChar" w:customStyle="1">
    <w:name w:val="Footer Char"/>
    <w:basedOn w:val="DefaultParagraphFont"/>
    <w:link w:val="Footer"/>
    <w:uiPriority w:val="99"/>
    <w:rsid w:val="0047733C"/>
    <w:rPr>
      <w:rFonts w:ascii="Calibri" w:cs="Times New Roman" w:hAnsi="Calibri"/>
      <w:lang w:eastAsia="en-GB"/>
    </w:rPr>
  </w:style>
  <w:style w:type="character" w:styleId="CommentReference">
    <w:name w:val="annotation reference"/>
    <w:basedOn w:val="DefaultParagraphFont"/>
    <w:uiPriority w:val="99"/>
    <w:semiHidden w:val="1"/>
    <w:unhideWhenUsed w:val="1"/>
    <w:rsid w:val="00496415"/>
    <w:rPr>
      <w:sz w:val="18"/>
      <w:szCs w:val="18"/>
    </w:rPr>
  </w:style>
  <w:style w:type="paragraph" w:styleId="CommentText">
    <w:name w:val="annotation text"/>
    <w:basedOn w:val="Normal"/>
    <w:link w:val="CommentTextChar"/>
    <w:uiPriority w:val="99"/>
    <w:semiHidden w:val="1"/>
    <w:unhideWhenUsed w:val="1"/>
    <w:rsid w:val="00496415"/>
    <w:rPr>
      <w:sz w:val="24"/>
      <w:szCs w:val="24"/>
    </w:rPr>
  </w:style>
  <w:style w:type="character" w:styleId="CommentTextChar" w:customStyle="1">
    <w:name w:val="Comment Text Char"/>
    <w:basedOn w:val="DefaultParagraphFont"/>
    <w:link w:val="CommentText"/>
    <w:uiPriority w:val="99"/>
    <w:semiHidden w:val="1"/>
    <w:rsid w:val="00496415"/>
    <w:rPr>
      <w:rFonts w:ascii="Calibri" w:cs="Times New Roman" w:hAnsi="Calibri"/>
      <w:sz w:val="24"/>
      <w:szCs w:val="24"/>
      <w:lang w:eastAsia="en-GB"/>
    </w:rPr>
  </w:style>
  <w:style w:type="paragraph" w:styleId="CommentSubject">
    <w:name w:val="annotation subject"/>
    <w:basedOn w:val="CommentText"/>
    <w:next w:val="CommentText"/>
    <w:link w:val="CommentSubjectChar"/>
    <w:uiPriority w:val="99"/>
    <w:semiHidden w:val="1"/>
    <w:unhideWhenUsed w:val="1"/>
    <w:rsid w:val="00496415"/>
    <w:rPr>
      <w:b w:val="1"/>
      <w:bCs w:val="1"/>
      <w:sz w:val="20"/>
      <w:szCs w:val="20"/>
    </w:rPr>
  </w:style>
  <w:style w:type="character" w:styleId="CommentSubjectChar" w:customStyle="1">
    <w:name w:val="Comment Subject Char"/>
    <w:basedOn w:val="CommentTextChar"/>
    <w:link w:val="CommentSubject"/>
    <w:uiPriority w:val="99"/>
    <w:semiHidden w:val="1"/>
    <w:rsid w:val="00496415"/>
    <w:rPr>
      <w:rFonts w:ascii="Calibri" w:cs="Times New Roman" w:hAnsi="Calibri"/>
      <w:b w:val="1"/>
      <w:bCs w:val="1"/>
      <w:sz w:val="20"/>
      <w:szCs w:val="20"/>
      <w:lang w:eastAsia="en-GB"/>
    </w:rPr>
  </w:style>
  <w:style w:type="character" w:styleId="Hyperlink">
    <w:name w:val="Hyperlink"/>
    <w:basedOn w:val="DefaultParagraphFont"/>
    <w:uiPriority w:val="99"/>
    <w:unhideWhenUsed w:val="1"/>
    <w:rsid w:val="00801171"/>
    <w:rPr>
      <w:color w:val="0563c1" w:themeColor="hyperlink"/>
      <w:u w:val="single"/>
    </w:rPr>
  </w:style>
  <w:style w:type="paragraph" w:styleId="Revision">
    <w:name w:val="Revision"/>
    <w:hidden w:val="1"/>
    <w:uiPriority w:val="99"/>
    <w:semiHidden w:val="1"/>
    <w:rsid w:val="00EB3A7F"/>
    <w:pPr>
      <w:spacing w:after="0" w:line="240" w:lineRule="auto"/>
    </w:pPr>
    <w:rPr>
      <w:rFonts w:ascii="Calibri" w:cs="Times New Roman" w:hAnsi="Calibri"/>
      <w:lang w:eastAsia="en-GB"/>
    </w:rPr>
  </w:style>
  <w:style w:type="character" w:styleId="Heading1Char" w:customStyle="1">
    <w:name w:val="Heading 1 Char"/>
    <w:basedOn w:val="DefaultParagraphFont"/>
    <w:link w:val="Heading1"/>
    <w:uiPriority w:val="9"/>
    <w:rsid w:val="00226EAD"/>
    <w:rPr>
      <w:rFonts w:asciiTheme="majorHAnsi" w:cstheme="majorBidi" w:eastAsiaTheme="majorEastAsia" w:hAnsiTheme="majorHAnsi"/>
      <w:color w:val="2e74b5" w:themeColor="accent1" w:themeShade="0000BF"/>
      <w:sz w:val="32"/>
      <w:szCs w:val="32"/>
      <w:lang w:eastAsia="en-GB"/>
    </w:rPr>
  </w:style>
  <w:style w:type="paragraph" w:styleId="ListParagraph">
    <w:name w:val="List Paragraph"/>
    <w:basedOn w:val="Normal"/>
    <w:uiPriority w:val="34"/>
    <w:qFormat w:val="1"/>
    <w:rsid w:val="00226EAD"/>
    <w:pPr>
      <w:spacing w:after="160" w:line="259" w:lineRule="auto"/>
      <w:ind w:left="720"/>
      <w:contextualSpacing w:val="1"/>
    </w:pPr>
    <w:rPr>
      <w:rFonts w:cs="Calibri" w:eastAsia="Calibri"/>
    </w:rPr>
  </w:style>
  <w:style w:type="table" w:styleId="TableGrid">
    <w:name w:val="Table Grid"/>
    <w:basedOn w:val="TableNormal"/>
    <w:uiPriority w:val="59"/>
    <w:rsid w:val="001F35B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llowedHyperlink">
    <w:name w:val="FollowedHyperlink"/>
    <w:basedOn w:val="DefaultParagraphFont"/>
    <w:uiPriority w:val="99"/>
    <w:semiHidden w:val="1"/>
    <w:unhideWhenUsed w:val="1"/>
    <w:rsid w:val="00E95E8E"/>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assets.thermofisher.com/TFS-Assets%2FLSG%2FSDS%2FR0611_MTR-EULT_BE.pdf" TargetMode="External"/><Relationship Id="rId10" Type="http://schemas.openxmlformats.org/officeDocument/2006/relationships/hyperlink" Target="https://www.sigmaaldrich.com/GB/en/sds/sigma/x4126?userType=anonymous" TargetMode="External"/><Relationship Id="rId13" Type="http://schemas.openxmlformats.org/officeDocument/2006/relationships/hyperlink" Target="https://assets.thermofisher.com/TFS-Assets%2FLSG%2FSDS%2F15558026_MTR-EULT_BE.pdf" TargetMode="External"/><Relationship Id="rId12" Type="http://schemas.openxmlformats.org/officeDocument/2006/relationships/hyperlink" Target="https://www.sigmaaldrich.com/GB/en/sds/sigma/o3756?userType=anonymou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ishersci.co.uk/store/msds?partNumber=11488387&amp;productDescription=bromophenol-blue-----g&amp;keyword=true&amp;countryCode=GB&amp;language=en" TargetMode="External"/><Relationship Id="rId15" Type="http://schemas.openxmlformats.org/officeDocument/2006/relationships/hyperlink" Target="https://theminione.com/wp-content/uploads/2021/02/M1000-M1010-MiniOne-Electrophoresis-Instruction-Manual-120120-.pdf" TargetMode="External"/><Relationship Id="rId14" Type="http://schemas.openxmlformats.org/officeDocument/2006/relationships/hyperlink" Target="https://assets.thermofisher.com/DirectWebViewer/private/document.aspx?prd=ALFAAJ66501~~PDF~~MTR~~CLP1~~EE~~2024-02-08%2023:56:42~~Agarose%20%20Electrophoresis%20Grade~~" TargetMode="External"/><Relationship Id="rId17" Type="http://schemas.openxmlformats.org/officeDocument/2006/relationships/image" Target="media/image2.png"/><Relationship Id="rId16" Type="http://schemas.openxmlformats.org/officeDocument/2006/relationships/hyperlink" Target="https://theminione.com/wp-content/uploads/2021/02/M1000-M1010-MiniOne-Electrophoresis-Instruction-Manual-120120-.pdf"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s://assets.thermofisher.com/TFS-Assets%2FLSG%2FSDS%2FAM9855G_MTR-EULT_BE.pdf" TargetMode="External"/><Relationship Id="rId8" Type="http://schemas.openxmlformats.org/officeDocument/2006/relationships/hyperlink" Target="https://www.fishersci.co.uk/store/msds?partNumber=15463719&amp;productDescription=ml-glycerol-molecular-biology-grade-ml&amp;keyword=true&amp;countryCode=GB&amp;language=e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9hLP8xV5qbHs+EFJjgbG9MT6g==">CgMxLjA4AHIhMTVtaGZaTzh0V2xNSUp3Rnkwd0lEVmZ5YXBTSkhZMDFk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2024-08-11T06:13:00Z</dcterms:created>
  <dc:creator>Alison Mccree</dc:creator>
</cp:coreProperties>
</file>